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4FDA6" w14:textId="77777777" w:rsidR="00D7373D" w:rsidRDefault="00B243FE">
      <w:pPr>
        <w:keepNext/>
        <w:suppressAutoHyphens/>
        <w:spacing w:after="0" w:line="240" w:lineRule="auto"/>
        <w:outlineLvl w:val="0"/>
        <w:rPr>
          <w:rFonts w:asciiTheme="majorHAnsi" w:eastAsia="Times New Roman" w:hAnsiTheme="majorHAnsi" w:cstheme="majorHAnsi"/>
          <w:b/>
          <w:bCs/>
          <w:kern w:val="32"/>
          <w:sz w:val="32"/>
          <w:szCs w:val="32"/>
          <w:lang w:bidi="en-US"/>
        </w:rPr>
      </w:pPr>
      <w:bookmarkStart w:id="0" w:name="_Hlk87351184"/>
      <w:r>
        <w:rPr>
          <w:rFonts w:asciiTheme="majorHAnsi" w:eastAsia="Times New Roman" w:hAnsiTheme="majorHAnsi" w:cstheme="majorHAnsi"/>
          <w:i/>
          <w:iCs/>
          <w:kern w:val="32"/>
          <w:sz w:val="24"/>
          <w:szCs w:val="24"/>
          <w:lang w:bidi="en-US"/>
        </w:rPr>
        <w:tab/>
      </w:r>
      <w:r>
        <w:rPr>
          <w:rFonts w:asciiTheme="majorHAnsi" w:eastAsia="Times New Roman" w:hAnsiTheme="majorHAnsi" w:cstheme="majorHAnsi"/>
          <w:b/>
          <w:bCs/>
          <w:kern w:val="32"/>
          <w:sz w:val="32"/>
          <w:szCs w:val="32"/>
          <w:lang w:bidi="en-US"/>
        </w:rPr>
        <w:t xml:space="preserve">PROCEDURA USTALANIA NIEBUDZĄCYCH WĄTPLIWOŚCI INTERPRETACYJNYCH KRYTERIÓW WYBORU OPERACJI </w:t>
      </w:r>
    </w:p>
    <w:p w14:paraId="7992EB98" w14:textId="77777777" w:rsidR="00D7373D" w:rsidRDefault="00B243FE">
      <w:pPr>
        <w:keepNext/>
        <w:suppressAutoHyphens/>
        <w:spacing w:after="0" w:line="240" w:lineRule="auto"/>
        <w:jc w:val="center"/>
        <w:outlineLvl w:val="0"/>
        <w:rPr>
          <w:rFonts w:asciiTheme="majorHAnsi" w:eastAsia="Times New Roman" w:hAnsiTheme="majorHAnsi" w:cstheme="majorHAnsi"/>
          <w:b/>
          <w:bCs/>
          <w:kern w:val="32"/>
          <w:sz w:val="32"/>
          <w:szCs w:val="32"/>
          <w:lang w:bidi="en-US"/>
        </w:rPr>
      </w:pPr>
      <w:r>
        <w:rPr>
          <w:rFonts w:asciiTheme="majorHAnsi" w:eastAsia="Times New Roman" w:hAnsiTheme="majorHAnsi" w:cstheme="majorHAnsi"/>
          <w:b/>
          <w:bCs/>
          <w:kern w:val="32"/>
          <w:sz w:val="32"/>
          <w:szCs w:val="32"/>
          <w:lang w:bidi="en-US"/>
        </w:rPr>
        <w:t xml:space="preserve">STOWARZYSZENIA LGD DOLINA SAMY </w:t>
      </w:r>
    </w:p>
    <w:p w14:paraId="053F2B21" w14:textId="77777777" w:rsidR="00D7373D" w:rsidRDefault="00D7373D">
      <w:pPr>
        <w:spacing w:after="0" w:line="240" w:lineRule="auto"/>
        <w:jc w:val="center"/>
        <w:rPr>
          <w:rFonts w:asciiTheme="majorHAnsi" w:eastAsia="Times New Roman" w:hAnsiTheme="majorHAnsi" w:cstheme="majorHAnsi"/>
          <w:b/>
          <w:sz w:val="24"/>
          <w:szCs w:val="24"/>
          <w:lang w:eastAsia="pl-PL"/>
        </w:rPr>
      </w:pPr>
    </w:p>
    <w:p w14:paraId="5C459825" w14:textId="77777777" w:rsidR="00D7373D" w:rsidRDefault="00B243FE">
      <w:pPr>
        <w:spacing w:after="0" w:line="240" w:lineRule="auto"/>
        <w:jc w:val="center"/>
        <w:rPr>
          <w:rFonts w:asciiTheme="majorHAnsi" w:eastAsia="Times New Roman" w:hAnsiTheme="majorHAnsi" w:cstheme="majorHAnsi"/>
          <w:b/>
          <w:sz w:val="24"/>
          <w:szCs w:val="24"/>
          <w:lang w:eastAsia="pl-PL"/>
        </w:rPr>
      </w:pPr>
      <w:r>
        <w:rPr>
          <w:rFonts w:asciiTheme="majorHAnsi" w:eastAsia="Times New Roman" w:hAnsiTheme="majorHAnsi" w:cstheme="majorHAnsi"/>
          <w:b/>
          <w:sz w:val="24"/>
          <w:szCs w:val="24"/>
          <w:lang w:eastAsia="pl-PL"/>
        </w:rPr>
        <w:t>§ 1</w:t>
      </w:r>
    </w:p>
    <w:p w14:paraId="4E6333B4" w14:textId="77777777" w:rsidR="00D7373D" w:rsidRDefault="00B243FE">
      <w:pPr>
        <w:spacing w:after="0" w:line="240" w:lineRule="auto"/>
        <w:jc w:val="center"/>
        <w:rPr>
          <w:rFonts w:asciiTheme="majorHAnsi" w:eastAsia="Times New Roman" w:hAnsiTheme="majorHAnsi" w:cstheme="majorHAnsi"/>
          <w:b/>
          <w:sz w:val="24"/>
          <w:szCs w:val="24"/>
          <w:lang w:eastAsia="pl-PL"/>
        </w:rPr>
      </w:pPr>
      <w:r>
        <w:rPr>
          <w:rFonts w:asciiTheme="majorHAnsi" w:eastAsia="Times New Roman" w:hAnsiTheme="majorHAnsi" w:cstheme="majorHAnsi"/>
          <w:b/>
          <w:sz w:val="24"/>
          <w:szCs w:val="24"/>
          <w:lang w:eastAsia="pl-PL"/>
        </w:rPr>
        <w:t>Postanowienia ogólne</w:t>
      </w:r>
    </w:p>
    <w:p w14:paraId="5EE4E681" w14:textId="77777777" w:rsidR="00D7373D" w:rsidRDefault="00B243FE">
      <w:pPr>
        <w:pStyle w:val="Akapitzlist"/>
        <w:numPr>
          <w:ilvl w:val="0"/>
          <w:numId w:val="1"/>
        </w:numPr>
        <w:spacing w:after="0" w:line="240" w:lineRule="auto"/>
        <w:ind w:left="284" w:hanging="284"/>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 xml:space="preserve">Procedura jest jawna i powszechnie dostępna. Publikowana na stronie internetowej LGD. Procedura udostępniona jest także do wglądu w Biurze LGD. </w:t>
      </w:r>
    </w:p>
    <w:p w14:paraId="18B98D4D" w14:textId="77777777" w:rsidR="00D7373D" w:rsidRDefault="00B243FE">
      <w:pPr>
        <w:pStyle w:val="Akapitzlist"/>
        <w:numPr>
          <w:ilvl w:val="0"/>
          <w:numId w:val="1"/>
        </w:numPr>
        <w:spacing w:after="0" w:line="240" w:lineRule="auto"/>
        <w:ind w:left="284" w:hanging="28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Procedura dotyczy ustalania i zmiany kryteriów wyboru operacji oraz operacji własnych, obowiązujących w LGD.</w:t>
      </w:r>
    </w:p>
    <w:p w14:paraId="59A9441E" w14:textId="77777777" w:rsidR="00D7373D" w:rsidRDefault="00B243FE">
      <w:pPr>
        <w:pStyle w:val="Akapitzlist"/>
        <w:numPr>
          <w:ilvl w:val="0"/>
          <w:numId w:val="1"/>
        </w:numPr>
        <w:spacing w:after="0" w:line="240" w:lineRule="auto"/>
        <w:ind w:left="284" w:hanging="28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 xml:space="preserve">Do postępowań w sprawach ustalania kryteriów wyboru operacji stosuje się przepisy: </w:t>
      </w:r>
    </w:p>
    <w:p w14:paraId="3F674C58"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Ustawy z dnia 20 lutego 2015 r. o rozwoju lokalnym z udziałem lokalnej społeczności;</w:t>
      </w:r>
    </w:p>
    <w:p w14:paraId="4A903BF7"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Wytycznych podstawowych Ministra Rolnictwa i Rozwoju Wsi w zakresie pomocy finansowej w ramach Planu Strategicznego dla Wspólnej Polityki Rolnej na lata 2023–2027;</w:t>
      </w:r>
    </w:p>
    <w:p w14:paraId="713D8999"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 xml:space="preserve">Wytycznych szczegółowych Ministra Rolnictwa i Rozwoju Wsi w zakresie przyznawania i wypłaty pomocy finansowej w ramach Planu Strategicznego dla Wspólnej Polityki Rolnej na lata 2023–2027 dla interwencji I.13.1 LEADER/Rozwój Lokalny Kierowany przez Społeczność </w:t>
      </w:r>
      <w:r>
        <w:rPr>
          <w:rFonts w:asciiTheme="majorHAnsi" w:hAnsiTheme="majorHAnsi" w:cstheme="majorHAnsi"/>
          <w:sz w:val="24"/>
          <w:szCs w:val="24"/>
        </w:rPr>
        <w:t>komponent – Wdrażanie LSR</w:t>
      </w:r>
      <w:r>
        <w:rPr>
          <w:rFonts w:asciiTheme="majorHAnsi" w:eastAsia="Times New Roman" w:hAnsiTheme="majorHAnsi" w:cstheme="majorHAnsi"/>
          <w:sz w:val="24"/>
          <w:szCs w:val="24"/>
          <w:lang w:eastAsia="pl-PL"/>
        </w:rPr>
        <w:t>;</w:t>
      </w:r>
    </w:p>
    <w:p w14:paraId="42A73F75"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 xml:space="preserve">Wytycznej dotyczącej realizacji projektów z udziałem środków Europejskiego Funduszu Społecznego Plus w regionalnych programach na lata 2021–2027; </w:t>
      </w:r>
    </w:p>
    <w:p w14:paraId="26DEF489"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Wytycznej dotyczącej kwalifikowalności wydatków na lata 2021-2027;</w:t>
      </w:r>
    </w:p>
    <w:p w14:paraId="6BC1D206"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Planu Strategicznego dla Wspólnej Polityki Rolnej na lata 2023–2027;</w:t>
      </w:r>
    </w:p>
    <w:p w14:paraId="1D91D1A7"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hAnsiTheme="majorHAnsi" w:cstheme="majorHAnsi"/>
          <w:sz w:val="24"/>
          <w:szCs w:val="24"/>
        </w:rPr>
        <w:t>Programu Fundusze Europejskie dla Wielkopolski 2021-2027;</w:t>
      </w:r>
    </w:p>
    <w:p w14:paraId="417C6D1F" w14:textId="77777777" w:rsidR="00D7373D" w:rsidRDefault="00B243FE">
      <w:pPr>
        <w:pStyle w:val="Akapitzlist"/>
        <w:numPr>
          <w:ilvl w:val="0"/>
          <w:numId w:val="2"/>
        </w:numPr>
        <w:spacing w:after="0" w:line="240" w:lineRule="auto"/>
        <w:ind w:left="567" w:hanging="283"/>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Szczegółowego Opisu Priorytetów Programu Fundusze Europejskie dla Wielkopolski 2021-2027;</w:t>
      </w:r>
    </w:p>
    <w:p w14:paraId="6E2873F6" w14:textId="77777777" w:rsidR="00D7373D" w:rsidRDefault="00B243FE">
      <w:pPr>
        <w:pStyle w:val="Akapitzlist"/>
        <w:numPr>
          <w:ilvl w:val="0"/>
          <w:numId w:val="1"/>
        </w:numPr>
        <w:spacing w:after="0" w:line="240" w:lineRule="auto"/>
        <w:ind w:left="284" w:hanging="284"/>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Ustalone kryteria wyboru powinny gwarantować wybór operacji przyczyniających się do osiągnięcia celów jak i wskaźników wskazanych w Lokalnej Strategii Rozwoju na lata 2023-2027.</w:t>
      </w:r>
    </w:p>
    <w:p w14:paraId="23E6F9EB" w14:textId="77777777" w:rsidR="00D7373D" w:rsidRDefault="00B243FE">
      <w:pPr>
        <w:pStyle w:val="Akapitzlist"/>
        <w:numPr>
          <w:ilvl w:val="0"/>
          <w:numId w:val="1"/>
        </w:numPr>
        <w:spacing w:after="0" w:line="240" w:lineRule="auto"/>
        <w:ind w:left="284" w:hanging="284"/>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Definicje użyte w niniejszej procedurze:</w:t>
      </w:r>
    </w:p>
    <w:p w14:paraId="1A0A3877"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eastAsia="Times New Roman" w:hAnsiTheme="majorHAnsi" w:cstheme="majorHAnsi"/>
          <w:b/>
          <w:sz w:val="24"/>
          <w:szCs w:val="24"/>
          <w:lang w:eastAsia="pl-PL"/>
        </w:rPr>
        <w:t>Biuro LGD</w:t>
      </w:r>
      <w:r>
        <w:rPr>
          <w:rFonts w:asciiTheme="majorHAnsi" w:eastAsia="Times New Roman" w:hAnsiTheme="majorHAnsi" w:cstheme="majorHAnsi"/>
          <w:sz w:val="24"/>
          <w:szCs w:val="24"/>
          <w:lang w:eastAsia="pl-PL"/>
        </w:rPr>
        <w:t xml:space="preserve"> – Biuro Stowarzyszenia Lokalnej Grupy Działania Dolina Samy,</w:t>
      </w:r>
    </w:p>
    <w:p w14:paraId="01A131AE"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bookmarkStart w:id="1" w:name="_Hlk161142912"/>
      <w:r>
        <w:rPr>
          <w:rFonts w:asciiTheme="majorHAnsi" w:eastAsia="Times New Roman" w:hAnsiTheme="majorHAnsi" w:cstheme="majorHAnsi"/>
          <w:b/>
          <w:bCs/>
          <w:sz w:val="24"/>
          <w:szCs w:val="24"/>
          <w:lang w:eastAsia="pl-PL"/>
        </w:rPr>
        <w:t xml:space="preserve">EFS + – </w:t>
      </w:r>
      <w:r>
        <w:rPr>
          <w:rFonts w:asciiTheme="majorHAnsi" w:eastAsia="Times New Roman" w:hAnsiTheme="majorHAnsi" w:cstheme="majorHAnsi"/>
          <w:sz w:val="24"/>
          <w:szCs w:val="24"/>
          <w:lang w:eastAsia="pl-PL"/>
        </w:rPr>
        <w:t>Europejski Fundusz Społeczny Plus,</w:t>
      </w:r>
    </w:p>
    <w:p w14:paraId="48899E6B"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b/>
          <w:bCs/>
          <w:sz w:val="24"/>
          <w:szCs w:val="24"/>
          <w:lang w:eastAsia="pl-PL"/>
        </w:rPr>
      </w:pPr>
      <w:r>
        <w:rPr>
          <w:rFonts w:asciiTheme="majorHAnsi" w:eastAsia="Times New Roman" w:hAnsiTheme="majorHAnsi" w:cstheme="majorHAnsi"/>
          <w:b/>
          <w:bCs/>
          <w:sz w:val="24"/>
          <w:szCs w:val="24"/>
          <w:lang w:eastAsia="pl-PL"/>
        </w:rPr>
        <w:t xml:space="preserve">EFRR – </w:t>
      </w:r>
      <w:r>
        <w:rPr>
          <w:rFonts w:asciiTheme="majorHAnsi" w:eastAsia="Times New Roman" w:hAnsiTheme="majorHAnsi" w:cstheme="majorHAnsi"/>
          <w:sz w:val="24"/>
          <w:szCs w:val="24"/>
          <w:lang w:eastAsia="pl-PL"/>
        </w:rPr>
        <w:t>Europejski Fundusz Rozwoju Regionalnego,</w:t>
      </w:r>
    </w:p>
    <w:p w14:paraId="5D5E5796"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b/>
          <w:bCs/>
          <w:sz w:val="24"/>
          <w:szCs w:val="24"/>
          <w:lang w:eastAsia="pl-PL"/>
        </w:rPr>
      </w:pPr>
      <w:r>
        <w:rPr>
          <w:rFonts w:asciiTheme="majorHAnsi" w:hAnsiTheme="majorHAnsi" w:cstheme="majorHAnsi"/>
          <w:b/>
          <w:bCs/>
          <w:sz w:val="24"/>
          <w:szCs w:val="24"/>
        </w:rPr>
        <w:t xml:space="preserve">EFRROW – </w:t>
      </w:r>
      <w:r>
        <w:rPr>
          <w:rFonts w:asciiTheme="majorHAnsi" w:hAnsiTheme="majorHAnsi" w:cstheme="majorHAnsi"/>
          <w:sz w:val="24"/>
          <w:szCs w:val="24"/>
        </w:rPr>
        <w:t>Europejski Fundusz Rolny na rzecz Rozwoju Obszarów Wiejskich,</w:t>
      </w:r>
    </w:p>
    <w:bookmarkEnd w:id="1"/>
    <w:p w14:paraId="565F3755"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b/>
          <w:bCs/>
          <w:sz w:val="24"/>
          <w:szCs w:val="24"/>
          <w:lang w:eastAsia="pl-PL"/>
        </w:rPr>
      </w:pPr>
      <w:r>
        <w:rPr>
          <w:rFonts w:asciiTheme="majorHAnsi" w:hAnsiTheme="majorHAnsi" w:cstheme="majorHAnsi"/>
          <w:b/>
          <w:bCs/>
          <w:sz w:val="24"/>
          <w:szCs w:val="24"/>
        </w:rPr>
        <w:t xml:space="preserve">FEW – </w:t>
      </w:r>
      <w:r>
        <w:rPr>
          <w:rFonts w:asciiTheme="majorHAnsi" w:hAnsiTheme="majorHAnsi" w:cstheme="majorHAnsi"/>
          <w:sz w:val="24"/>
          <w:szCs w:val="24"/>
        </w:rPr>
        <w:t>Program Fundusze Europejskie dla Wielkopolski 2021-2027,</w:t>
      </w:r>
    </w:p>
    <w:p w14:paraId="22C903EF"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eastAsia="Times New Roman" w:hAnsiTheme="majorHAnsi" w:cstheme="majorHAnsi"/>
          <w:b/>
          <w:sz w:val="24"/>
          <w:szCs w:val="24"/>
          <w:lang w:eastAsia="pl-PL"/>
        </w:rPr>
        <w:t xml:space="preserve">Kryteria wyboru </w:t>
      </w:r>
      <w:r>
        <w:rPr>
          <w:rFonts w:asciiTheme="majorHAnsi" w:eastAsia="Times New Roman" w:hAnsiTheme="majorHAnsi" w:cstheme="majorHAnsi"/>
          <w:sz w:val="24"/>
          <w:szCs w:val="24"/>
          <w:lang w:eastAsia="pl-PL"/>
        </w:rPr>
        <w:t>– kryteria wyboru operacji oraz operacji własnych,</w:t>
      </w:r>
      <w:r>
        <w:rPr>
          <w:sz w:val="24"/>
          <w:szCs w:val="24"/>
        </w:rPr>
        <w:t xml:space="preserve"> </w:t>
      </w:r>
      <w:r>
        <w:rPr>
          <w:rFonts w:asciiTheme="majorHAnsi" w:eastAsia="Times New Roman" w:hAnsiTheme="majorHAnsi" w:cstheme="majorHAnsi"/>
          <w:sz w:val="24"/>
          <w:szCs w:val="24"/>
          <w:lang w:eastAsia="pl-PL"/>
        </w:rPr>
        <w:t>obowiązujące w LGD,</w:t>
      </w:r>
    </w:p>
    <w:p w14:paraId="4FCDC603"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eastAsia="Times New Roman" w:hAnsiTheme="majorHAnsi" w:cstheme="majorHAnsi"/>
          <w:b/>
          <w:sz w:val="24"/>
          <w:szCs w:val="24"/>
          <w:lang w:eastAsia="pl-PL"/>
        </w:rPr>
        <w:t>LGD</w:t>
      </w:r>
      <w:r>
        <w:rPr>
          <w:rFonts w:asciiTheme="majorHAnsi" w:eastAsia="Times New Roman" w:hAnsiTheme="majorHAnsi" w:cstheme="majorHAnsi"/>
          <w:sz w:val="24"/>
          <w:szCs w:val="24"/>
          <w:lang w:eastAsia="pl-PL"/>
        </w:rPr>
        <w:t xml:space="preserve"> – Stowarzyszenie Lokalna Grupa Działania Dolina Samy;</w:t>
      </w:r>
    </w:p>
    <w:p w14:paraId="261B5993"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eastAsia="Times New Roman" w:hAnsiTheme="majorHAnsi" w:cstheme="majorHAnsi"/>
          <w:b/>
          <w:sz w:val="24"/>
          <w:szCs w:val="24"/>
          <w:lang w:eastAsia="pl-PL"/>
        </w:rPr>
        <w:t>LSR</w:t>
      </w:r>
      <w:r>
        <w:rPr>
          <w:rFonts w:asciiTheme="majorHAnsi" w:eastAsia="Times New Roman" w:hAnsiTheme="majorHAnsi" w:cstheme="majorHAnsi"/>
          <w:sz w:val="24"/>
          <w:szCs w:val="24"/>
          <w:lang w:eastAsia="pl-PL"/>
        </w:rPr>
        <w:t xml:space="preserve"> – Strategia Rozwoju Lokalnego Kierowanego przez Społeczność / Lokalna Strategia Rozwoju na lata 2023-2027,</w:t>
      </w:r>
    </w:p>
    <w:p w14:paraId="0DDA07FA"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eastAsia="Times New Roman" w:hAnsiTheme="majorHAnsi" w:cstheme="majorHAnsi"/>
          <w:b/>
          <w:sz w:val="24"/>
          <w:szCs w:val="24"/>
          <w:lang w:eastAsia="pl-PL"/>
        </w:rPr>
        <w:t>PS WPR –</w:t>
      </w:r>
      <w:r>
        <w:rPr>
          <w:sz w:val="24"/>
          <w:szCs w:val="24"/>
        </w:rPr>
        <w:t xml:space="preserve"> </w:t>
      </w:r>
      <w:r>
        <w:rPr>
          <w:rFonts w:asciiTheme="majorHAnsi" w:eastAsia="Times New Roman" w:hAnsiTheme="majorHAnsi" w:cstheme="majorHAnsi"/>
          <w:bCs/>
          <w:sz w:val="24"/>
          <w:szCs w:val="24"/>
          <w:lang w:eastAsia="pl-PL"/>
        </w:rPr>
        <w:t>Plan Strategiczny dla Wspólnej Polityki Rolnej na lata 2023–2027,</w:t>
      </w:r>
    </w:p>
    <w:p w14:paraId="06B647C4" w14:textId="77777777" w:rsidR="00D7373D" w:rsidRDefault="00B243FE">
      <w:pPr>
        <w:numPr>
          <w:ilvl w:val="0"/>
          <w:numId w:val="3"/>
        </w:numPr>
        <w:spacing w:after="0" w:line="240" w:lineRule="auto"/>
        <w:ind w:left="709" w:right="-165" w:hanging="425"/>
        <w:jc w:val="both"/>
        <w:rPr>
          <w:rFonts w:asciiTheme="majorHAnsi" w:hAnsiTheme="majorHAnsi" w:cstheme="majorHAnsi"/>
          <w:sz w:val="24"/>
          <w:szCs w:val="24"/>
        </w:rPr>
      </w:pPr>
      <w:r>
        <w:rPr>
          <w:rFonts w:asciiTheme="majorHAnsi" w:eastAsia="Times New Roman" w:hAnsiTheme="majorHAnsi" w:cstheme="majorHAnsi"/>
          <w:b/>
          <w:sz w:val="24"/>
          <w:szCs w:val="24"/>
          <w:lang w:eastAsia="pl-PL"/>
        </w:rPr>
        <w:t>Rada</w:t>
      </w:r>
      <w:r>
        <w:rPr>
          <w:rFonts w:asciiTheme="majorHAnsi" w:eastAsia="Times New Roman" w:hAnsiTheme="majorHAnsi" w:cstheme="majorHAnsi"/>
          <w:sz w:val="24"/>
          <w:szCs w:val="24"/>
          <w:lang w:eastAsia="pl-PL"/>
        </w:rPr>
        <w:t xml:space="preserve"> </w:t>
      </w:r>
      <w:r>
        <w:rPr>
          <w:rFonts w:asciiTheme="majorHAnsi" w:eastAsia="Times New Roman" w:hAnsiTheme="majorHAnsi" w:cstheme="majorHAnsi"/>
          <w:b/>
          <w:bCs/>
          <w:sz w:val="24"/>
          <w:szCs w:val="24"/>
          <w:lang w:eastAsia="pl-PL"/>
        </w:rPr>
        <w:t>LGD</w:t>
      </w:r>
      <w:r>
        <w:rPr>
          <w:rFonts w:asciiTheme="majorHAnsi" w:eastAsia="Times New Roman" w:hAnsiTheme="majorHAnsi" w:cstheme="majorHAnsi"/>
          <w:sz w:val="24"/>
          <w:szCs w:val="24"/>
          <w:lang w:eastAsia="pl-PL"/>
        </w:rPr>
        <w:t xml:space="preserve"> – organ decyzyjny Stowarzyszenia Lokalnej Grupy Działania Dolina Samy</w:t>
      </w:r>
    </w:p>
    <w:p w14:paraId="12D696FA" w14:textId="77777777" w:rsidR="00D7373D" w:rsidRDefault="00B243FE">
      <w:pPr>
        <w:numPr>
          <w:ilvl w:val="0"/>
          <w:numId w:val="3"/>
        </w:numPr>
        <w:spacing w:after="0" w:line="240" w:lineRule="auto"/>
        <w:ind w:left="709" w:right="-165" w:hanging="425"/>
        <w:jc w:val="both"/>
        <w:rPr>
          <w:rFonts w:asciiTheme="majorHAnsi" w:hAnsiTheme="majorHAnsi" w:cstheme="majorHAnsi"/>
          <w:b/>
          <w:bCs/>
          <w:sz w:val="24"/>
          <w:szCs w:val="24"/>
        </w:rPr>
      </w:pPr>
      <w:r>
        <w:rPr>
          <w:rFonts w:asciiTheme="majorHAnsi" w:hAnsiTheme="majorHAnsi" w:cstheme="majorHAnsi"/>
          <w:b/>
          <w:bCs/>
          <w:sz w:val="24"/>
          <w:szCs w:val="24"/>
        </w:rPr>
        <w:t xml:space="preserve">WZC – </w:t>
      </w:r>
      <w:r>
        <w:rPr>
          <w:rFonts w:asciiTheme="majorHAnsi" w:hAnsiTheme="majorHAnsi" w:cstheme="majorHAnsi"/>
          <w:sz w:val="24"/>
          <w:szCs w:val="24"/>
        </w:rPr>
        <w:t>Walne Zebranie Członków Stowarzyszenia Lokalnej Grupy Działania Dolina Samy,</w:t>
      </w:r>
    </w:p>
    <w:p w14:paraId="6E11E9F2"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eastAsia="Times New Roman" w:hAnsiTheme="majorHAnsi" w:cstheme="majorHAnsi"/>
          <w:b/>
          <w:sz w:val="24"/>
          <w:szCs w:val="24"/>
          <w:lang w:eastAsia="pl-PL"/>
        </w:rPr>
        <w:t>Zarząd LGD</w:t>
      </w:r>
      <w:r>
        <w:rPr>
          <w:rFonts w:asciiTheme="majorHAnsi" w:eastAsia="Times New Roman" w:hAnsiTheme="majorHAnsi" w:cstheme="majorHAnsi"/>
          <w:sz w:val="24"/>
          <w:szCs w:val="24"/>
          <w:lang w:eastAsia="pl-PL"/>
        </w:rPr>
        <w:t xml:space="preserve"> – Zarząd Stowarzyszenia Lokalnej Grupy Działania Dolina Samy</w:t>
      </w:r>
    </w:p>
    <w:p w14:paraId="230A4BE6"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8"/>
          <w:szCs w:val="28"/>
          <w:lang w:eastAsia="pl-PL"/>
        </w:rPr>
      </w:pPr>
      <w:r>
        <w:rPr>
          <w:rFonts w:asciiTheme="majorHAnsi" w:hAnsiTheme="majorHAnsi" w:cstheme="majorHAnsi"/>
          <w:b/>
          <w:bCs/>
          <w:sz w:val="24"/>
          <w:szCs w:val="24"/>
        </w:rPr>
        <w:lastRenderedPageBreak/>
        <w:t>Zespół ds. LSR</w:t>
      </w:r>
      <w:r>
        <w:rPr>
          <w:rFonts w:asciiTheme="majorHAnsi" w:hAnsiTheme="majorHAnsi" w:cstheme="majorHAnsi"/>
          <w:sz w:val="24"/>
          <w:szCs w:val="24"/>
        </w:rPr>
        <w:t xml:space="preserve"> – zespół powołany uchwałą zarządu m.in. do opracowania kryteriów wyboru oraz dokonania analizy przyjęcia bądź odrzucenia propozycji zmiany kryteriów,</w:t>
      </w:r>
    </w:p>
    <w:p w14:paraId="18C8981F" w14:textId="77777777" w:rsidR="00D7373D" w:rsidRDefault="00B243FE">
      <w:pPr>
        <w:numPr>
          <w:ilvl w:val="0"/>
          <w:numId w:val="3"/>
        </w:numPr>
        <w:spacing w:after="0" w:line="240" w:lineRule="auto"/>
        <w:ind w:left="709" w:hanging="425"/>
        <w:jc w:val="both"/>
        <w:rPr>
          <w:rFonts w:asciiTheme="majorHAnsi" w:eastAsia="Times New Roman" w:hAnsiTheme="majorHAnsi" w:cstheme="majorHAnsi"/>
          <w:sz w:val="24"/>
          <w:szCs w:val="24"/>
          <w:lang w:eastAsia="pl-PL"/>
        </w:rPr>
      </w:pPr>
      <w:r>
        <w:rPr>
          <w:rFonts w:asciiTheme="majorHAnsi" w:hAnsiTheme="majorHAnsi" w:cstheme="majorHAnsi"/>
          <w:b/>
          <w:sz w:val="24"/>
          <w:szCs w:val="24"/>
        </w:rPr>
        <w:t xml:space="preserve">ZW </w:t>
      </w:r>
      <w:r>
        <w:rPr>
          <w:rFonts w:asciiTheme="majorHAnsi" w:hAnsiTheme="majorHAnsi" w:cstheme="majorHAnsi"/>
          <w:bCs/>
          <w:sz w:val="24"/>
          <w:szCs w:val="24"/>
        </w:rPr>
        <w:t>– Zarząd Województwa Wielkopolskiego, z którym LGD zawarła umowę o warunkach i sposobie realizacji LSR,</w:t>
      </w:r>
    </w:p>
    <w:p w14:paraId="7B68AC6D" w14:textId="77777777" w:rsidR="00D7373D" w:rsidRDefault="00D7373D">
      <w:pPr>
        <w:spacing w:after="0" w:line="240" w:lineRule="auto"/>
        <w:jc w:val="center"/>
        <w:rPr>
          <w:rFonts w:asciiTheme="majorHAnsi" w:eastAsia="Times New Roman" w:hAnsiTheme="majorHAnsi" w:cstheme="majorHAnsi"/>
          <w:b/>
          <w:sz w:val="24"/>
          <w:szCs w:val="24"/>
          <w:lang w:eastAsia="pl-PL"/>
        </w:rPr>
      </w:pPr>
    </w:p>
    <w:p w14:paraId="46A21825" w14:textId="77777777" w:rsidR="00D7373D" w:rsidRDefault="00B243FE">
      <w:pPr>
        <w:spacing w:after="0" w:line="240" w:lineRule="auto"/>
        <w:jc w:val="center"/>
        <w:rPr>
          <w:rFonts w:asciiTheme="majorHAnsi" w:eastAsia="Times New Roman" w:hAnsiTheme="majorHAnsi" w:cstheme="majorHAnsi"/>
          <w:b/>
          <w:sz w:val="24"/>
          <w:szCs w:val="24"/>
          <w:lang w:eastAsia="pl-PL"/>
        </w:rPr>
      </w:pPr>
      <w:r>
        <w:rPr>
          <w:rFonts w:asciiTheme="majorHAnsi" w:eastAsia="Times New Roman" w:hAnsiTheme="majorHAnsi" w:cstheme="majorHAnsi"/>
          <w:b/>
          <w:sz w:val="24"/>
          <w:szCs w:val="24"/>
          <w:lang w:eastAsia="pl-PL"/>
        </w:rPr>
        <w:t>§ 2</w:t>
      </w:r>
    </w:p>
    <w:p w14:paraId="193337D4" w14:textId="77777777" w:rsidR="00D7373D" w:rsidRDefault="00B243FE">
      <w:pPr>
        <w:spacing w:after="0" w:line="240" w:lineRule="auto"/>
        <w:jc w:val="center"/>
        <w:rPr>
          <w:rFonts w:asciiTheme="majorHAnsi" w:eastAsia="Times New Roman" w:hAnsiTheme="majorHAnsi" w:cstheme="majorHAnsi"/>
          <w:b/>
          <w:bCs/>
          <w:kern w:val="32"/>
          <w:sz w:val="24"/>
          <w:szCs w:val="24"/>
          <w:lang w:bidi="en-US"/>
        </w:rPr>
      </w:pPr>
      <w:r>
        <w:rPr>
          <w:rFonts w:asciiTheme="majorHAnsi" w:eastAsia="Times New Roman" w:hAnsiTheme="majorHAnsi" w:cstheme="majorHAnsi"/>
          <w:b/>
          <w:bCs/>
          <w:kern w:val="32"/>
          <w:sz w:val="24"/>
          <w:szCs w:val="24"/>
          <w:lang w:bidi="en-US"/>
        </w:rPr>
        <w:t>Schemat ustalania i zmiany kryteriów wyboru</w:t>
      </w:r>
    </w:p>
    <w:tbl>
      <w:tblPr>
        <w:tblStyle w:val="Tabela-Siatka"/>
        <w:tblW w:w="15593" w:type="dxa"/>
        <w:tblInd w:w="-147" w:type="dxa"/>
        <w:tblLayout w:type="fixed"/>
        <w:tblLook w:val="04A0" w:firstRow="1" w:lastRow="0" w:firstColumn="1" w:lastColumn="0" w:noHBand="0" w:noVBand="1"/>
      </w:tblPr>
      <w:tblGrid>
        <w:gridCol w:w="784"/>
        <w:gridCol w:w="1770"/>
        <w:gridCol w:w="13039"/>
      </w:tblGrid>
      <w:tr w:rsidR="00D7373D" w14:paraId="255AA0D8" w14:textId="77777777">
        <w:trPr>
          <w:trHeight w:val="450"/>
        </w:trPr>
        <w:tc>
          <w:tcPr>
            <w:tcW w:w="784" w:type="dxa"/>
            <w:vAlign w:val="center"/>
          </w:tcPr>
          <w:bookmarkEnd w:id="0"/>
          <w:p w14:paraId="4983FF98" w14:textId="77777777" w:rsidR="00D7373D" w:rsidRDefault="00B243FE">
            <w:pPr>
              <w:spacing w:after="0" w:line="240" w:lineRule="auto"/>
              <w:jc w:val="center"/>
              <w:rPr>
                <w:rFonts w:asciiTheme="majorHAnsi" w:hAnsiTheme="majorHAnsi" w:cstheme="majorHAnsi"/>
                <w:b/>
                <w:sz w:val="23"/>
                <w:szCs w:val="23"/>
              </w:rPr>
            </w:pPr>
            <w:r>
              <w:rPr>
                <w:rFonts w:asciiTheme="majorHAnsi" w:hAnsiTheme="majorHAnsi" w:cstheme="majorHAnsi"/>
                <w:b/>
                <w:sz w:val="23"/>
                <w:szCs w:val="23"/>
              </w:rPr>
              <w:t>LIT.</w:t>
            </w:r>
          </w:p>
        </w:tc>
        <w:tc>
          <w:tcPr>
            <w:tcW w:w="1770" w:type="dxa"/>
            <w:vAlign w:val="center"/>
          </w:tcPr>
          <w:p w14:paraId="763DE12B" w14:textId="77777777" w:rsidR="00D7373D" w:rsidRDefault="00B243FE">
            <w:pPr>
              <w:spacing w:after="0" w:line="240" w:lineRule="auto"/>
              <w:ind w:left="-177" w:right="-109"/>
              <w:jc w:val="center"/>
              <w:rPr>
                <w:rFonts w:asciiTheme="majorHAnsi" w:hAnsiTheme="majorHAnsi" w:cstheme="majorHAnsi"/>
                <w:sz w:val="23"/>
                <w:szCs w:val="23"/>
              </w:rPr>
            </w:pPr>
            <w:r>
              <w:rPr>
                <w:rFonts w:asciiTheme="majorHAnsi" w:hAnsiTheme="majorHAnsi" w:cstheme="majorHAnsi"/>
                <w:b/>
                <w:sz w:val="23"/>
                <w:szCs w:val="23"/>
              </w:rPr>
              <w:t>PODMIOT  ODPOWIEDZIALNY</w:t>
            </w:r>
          </w:p>
        </w:tc>
        <w:tc>
          <w:tcPr>
            <w:tcW w:w="13039" w:type="dxa"/>
            <w:vAlign w:val="center"/>
          </w:tcPr>
          <w:p w14:paraId="20BB59EA" w14:textId="77777777" w:rsidR="00D7373D" w:rsidRDefault="00B243FE">
            <w:pPr>
              <w:spacing w:after="0" w:line="240" w:lineRule="auto"/>
              <w:jc w:val="center"/>
              <w:rPr>
                <w:rFonts w:asciiTheme="majorHAnsi" w:hAnsiTheme="majorHAnsi" w:cstheme="majorHAnsi"/>
                <w:sz w:val="23"/>
                <w:szCs w:val="23"/>
              </w:rPr>
            </w:pPr>
            <w:r>
              <w:rPr>
                <w:rFonts w:asciiTheme="majorHAnsi" w:hAnsiTheme="majorHAnsi" w:cstheme="majorHAnsi"/>
                <w:b/>
                <w:sz w:val="23"/>
                <w:szCs w:val="23"/>
              </w:rPr>
              <w:t>CZYNNOŚCI</w:t>
            </w:r>
          </w:p>
        </w:tc>
      </w:tr>
      <w:tr w:rsidR="00D7373D" w14:paraId="61D4D444" w14:textId="77777777">
        <w:trPr>
          <w:trHeight w:val="454"/>
        </w:trPr>
        <w:tc>
          <w:tcPr>
            <w:tcW w:w="15593" w:type="dxa"/>
            <w:gridSpan w:val="3"/>
            <w:shd w:val="clear" w:color="auto" w:fill="B4C6E7" w:themeFill="accent1" w:themeFillTint="66"/>
            <w:vAlign w:val="center"/>
          </w:tcPr>
          <w:p w14:paraId="13C3529C" w14:textId="77777777" w:rsidR="00D7373D" w:rsidRDefault="00B243FE">
            <w:pPr>
              <w:pStyle w:val="Akapitzlist"/>
              <w:numPr>
                <w:ilvl w:val="0"/>
                <w:numId w:val="4"/>
              </w:numPr>
              <w:spacing w:after="0" w:line="240" w:lineRule="auto"/>
              <w:ind w:left="458" w:hanging="425"/>
              <w:jc w:val="center"/>
              <w:rPr>
                <w:rFonts w:asciiTheme="majorHAnsi" w:hAnsiTheme="majorHAnsi" w:cstheme="majorHAnsi"/>
                <w:b/>
                <w:bCs/>
                <w:sz w:val="24"/>
                <w:szCs w:val="24"/>
              </w:rPr>
            </w:pPr>
            <w:r>
              <w:rPr>
                <w:rFonts w:asciiTheme="majorHAnsi" w:hAnsiTheme="majorHAnsi" w:cstheme="majorHAnsi"/>
                <w:b/>
                <w:bCs/>
                <w:sz w:val="24"/>
                <w:szCs w:val="24"/>
              </w:rPr>
              <w:t xml:space="preserve">ZASADY USTALANIA KRYTERIÓW WYBORU </w:t>
            </w:r>
          </w:p>
        </w:tc>
      </w:tr>
      <w:tr w:rsidR="00D7373D" w14:paraId="0CEE9D06" w14:textId="77777777">
        <w:tc>
          <w:tcPr>
            <w:tcW w:w="784" w:type="dxa"/>
            <w:vAlign w:val="center"/>
          </w:tcPr>
          <w:p w14:paraId="05E17A6D" w14:textId="77777777" w:rsidR="00D7373D" w:rsidRDefault="00B243FE">
            <w:pPr>
              <w:spacing w:after="0" w:line="240" w:lineRule="auto"/>
              <w:jc w:val="center"/>
              <w:rPr>
                <w:rFonts w:asciiTheme="majorHAnsi" w:hAnsiTheme="majorHAnsi" w:cstheme="majorHAnsi"/>
                <w:sz w:val="24"/>
                <w:szCs w:val="24"/>
                <w:highlight w:val="cyan"/>
              </w:rPr>
            </w:pPr>
            <w:r>
              <w:rPr>
                <w:rFonts w:asciiTheme="majorHAnsi" w:hAnsiTheme="majorHAnsi" w:cstheme="majorHAnsi"/>
                <w:sz w:val="24"/>
                <w:szCs w:val="24"/>
              </w:rPr>
              <w:t>A.</w:t>
            </w:r>
          </w:p>
        </w:tc>
        <w:tc>
          <w:tcPr>
            <w:tcW w:w="1770" w:type="dxa"/>
            <w:vAlign w:val="center"/>
          </w:tcPr>
          <w:p w14:paraId="05097D1A" w14:textId="77777777" w:rsidR="00D7373D" w:rsidRDefault="00B243FE">
            <w:pPr>
              <w:spacing w:after="0" w:line="240" w:lineRule="auto"/>
              <w:ind w:left="-44" w:right="-165"/>
              <w:jc w:val="center"/>
              <w:rPr>
                <w:rFonts w:asciiTheme="majorHAnsi" w:hAnsiTheme="majorHAnsi" w:cstheme="majorHAnsi"/>
                <w:sz w:val="24"/>
                <w:szCs w:val="24"/>
              </w:rPr>
            </w:pPr>
            <w:r>
              <w:rPr>
                <w:rFonts w:asciiTheme="majorHAnsi" w:hAnsiTheme="majorHAnsi" w:cstheme="majorHAnsi"/>
                <w:sz w:val="24"/>
                <w:szCs w:val="24"/>
              </w:rPr>
              <w:t>Rada LGD/</w:t>
            </w:r>
          </w:p>
          <w:p w14:paraId="1A9E9421" w14:textId="77777777" w:rsidR="00D7373D" w:rsidRDefault="00B243FE">
            <w:pPr>
              <w:spacing w:after="0" w:line="240" w:lineRule="auto"/>
              <w:ind w:left="-44" w:right="-165"/>
              <w:jc w:val="center"/>
              <w:rPr>
                <w:rFonts w:asciiTheme="majorHAnsi" w:hAnsiTheme="majorHAnsi" w:cstheme="majorHAnsi"/>
                <w:sz w:val="24"/>
                <w:szCs w:val="24"/>
              </w:rPr>
            </w:pPr>
            <w:r>
              <w:rPr>
                <w:rFonts w:asciiTheme="majorHAnsi" w:hAnsiTheme="majorHAnsi" w:cstheme="majorHAnsi"/>
                <w:sz w:val="24"/>
                <w:szCs w:val="24"/>
              </w:rPr>
              <w:t>/ Zespół ds. LSR</w:t>
            </w:r>
          </w:p>
        </w:tc>
        <w:tc>
          <w:tcPr>
            <w:tcW w:w="13039" w:type="dxa"/>
            <w:vAlign w:val="center"/>
          </w:tcPr>
          <w:p w14:paraId="36C175FE" w14:textId="77777777" w:rsidR="00D7373D" w:rsidRDefault="00B243FE">
            <w:pPr>
              <w:pStyle w:val="Akapitzlist"/>
              <w:numPr>
                <w:ilvl w:val="0"/>
                <w:numId w:val="5"/>
              </w:numPr>
              <w:spacing w:after="0" w:line="240" w:lineRule="auto"/>
              <w:ind w:left="382"/>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Kryteria wyboru określa się tak, aby były logicznie powiązane ze stwierdzonymi potrzebami, określonymi celami oraz przyjętymi wskaźnikami rezultatu (realizacji celu LSR) oraz nie mogą być dyskryminujące. Powinny być tak zdefiniowane, aby były:</w:t>
            </w:r>
          </w:p>
          <w:p w14:paraId="2DC93677"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obiektywne;</w:t>
            </w:r>
          </w:p>
          <w:p w14:paraId="27FACD0B"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przejrzyste;</w:t>
            </w:r>
          </w:p>
          <w:p w14:paraId="46DA0970"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mierzalne, a w przypadku kryteriów jakościowych zawierające szczegółowy opis podejścia do ich oceny wskazujący wymagania konieczne do spełnienia;</w:t>
            </w:r>
          </w:p>
          <w:p w14:paraId="2EE30C42"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 xml:space="preserve">w przypadku kryteriów mierzalnych - jasno określające wymogi konieczne do uzyskania danej liczby punktów nie tylko </w:t>
            </w:r>
            <w:r>
              <w:rPr>
                <w:rFonts w:asciiTheme="majorHAnsi" w:eastAsia="Times New Roman" w:hAnsiTheme="majorHAnsi" w:cstheme="majorHAnsi"/>
                <w:sz w:val="24"/>
                <w:szCs w:val="24"/>
                <w:lang w:eastAsia="pl-PL"/>
              </w:rPr>
              <w:br/>
              <w:t>w odniesieniu do maksymalnej wartości oraz wskazujące sposób pomiaru/źródło weryfikacji;</w:t>
            </w:r>
          </w:p>
          <w:p w14:paraId="567D68A1"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w przypadku kryteriów jakościowych - winny zawierać opisowe uzasadnienie liczby przyznanych punktów;</w:t>
            </w:r>
          </w:p>
          <w:p w14:paraId="116414FB"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kryteria posiadają dodatkowe opisy/definicje oraz sposób przyznawania niebudzących wątpliwości interpretacyjnych wag;</w:t>
            </w:r>
          </w:p>
          <w:p w14:paraId="2B42DED8" w14:textId="77777777" w:rsidR="00D7373D" w:rsidRDefault="00B243FE">
            <w:pPr>
              <w:pStyle w:val="Akapitzlist"/>
              <w:numPr>
                <w:ilvl w:val="0"/>
                <w:numId w:val="6"/>
              </w:numPr>
              <w:spacing w:after="0" w:line="240" w:lineRule="auto"/>
              <w:ind w:left="748" w:hanging="357"/>
              <w:jc w:val="both"/>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dookreślone w zakresie minimalnych i maksymalnych wartości wraz z opisaniem zasad przyznawania punktów w przedziale minimum – maksimum;</w:t>
            </w:r>
          </w:p>
          <w:p w14:paraId="3C26B781" w14:textId="77777777" w:rsidR="00D7373D" w:rsidRDefault="00B243FE">
            <w:pPr>
              <w:pStyle w:val="Akapitzlist"/>
              <w:numPr>
                <w:ilvl w:val="0"/>
                <w:numId w:val="7"/>
              </w:numPr>
              <w:spacing w:after="0" w:line="240" w:lineRule="auto"/>
              <w:ind w:left="319" w:hanging="283"/>
              <w:jc w:val="both"/>
              <w:rPr>
                <w:rFonts w:asciiTheme="majorHAnsi" w:hAnsiTheme="majorHAnsi" w:cstheme="majorHAnsi"/>
                <w:sz w:val="24"/>
                <w:szCs w:val="24"/>
              </w:rPr>
            </w:pPr>
            <w:r>
              <w:rPr>
                <w:rFonts w:asciiTheme="majorHAnsi" w:eastAsia="Times New Roman" w:hAnsiTheme="majorHAnsi" w:cstheme="majorHAnsi"/>
                <w:sz w:val="24"/>
                <w:szCs w:val="24"/>
                <w:lang w:eastAsia="pl-PL"/>
              </w:rPr>
              <w:t>LGD zastosuje rankingujące kryteria wyboru tj. premiujące operacje o określonym charakterze, dla których określi minimum punktowe (liczba zebranych punktów decyduje o pozycji na liście operacji wybranych).</w:t>
            </w:r>
          </w:p>
        </w:tc>
      </w:tr>
      <w:tr w:rsidR="00D7373D" w14:paraId="28438B21" w14:textId="77777777">
        <w:tc>
          <w:tcPr>
            <w:tcW w:w="784" w:type="dxa"/>
            <w:vAlign w:val="center"/>
          </w:tcPr>
          <w:p w14:paraId="35F5DDF8" w14:textId="77777777" w:rsidR="00D7373D" w:rsidRDefault="00B243F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B.</w:t>
            </w:r>
          </w:p>
        </w:tc>
        <w:tc>
          <w:tcPr>
            <w:tcW w:w="1770" w:type="dxa"/>
            <w:vAlign w:val="center"/>
          </w:tcPr>
          <w:p w14:paraId="16F9AA54" w14:textId="77777777" w:rsidR="00D7373D" w:rsidRDefault="00B243FE">
            <w:pPr>
              <w:spacing w:after="0" w:line="240" w:lineRule="auto"/>
              <w:ind w:left="-44" w:right="-165"/>
              <w:jc w:val="center"/>
              <w:rPr>
                <w:rFonts w:asciiTheme="majorHAnsi" w:hAnsiTheme="majorHAnsi" w:cstheme="majorHAnsi"/>
                <w:sz w:val="24"/>
                <w:szCs w:val="24"/>
              </w:rPr>
            </w:pPr>
            <w:r>
              <w:rPr>
                <w:rFonts w:asciiTheme="majorHAnsi" w:hAnsiTheme="majorHAnsi" w:cstheme="majorHAnsi"/>
                <w:sz w:val="24"/>
                <w:szCs w:val="24"/>
              </w:rPr>
              <w:t>Biuro LGD</w:t>
            </w:r>
          </w:p>
        </w:tc>
        <w:tc>
          <w:tcPr>
            <w:tcW w:w="13039" w:type="dxa"/>
            <w:vAlign w:val="center"/>
          </w:tcPr>
          <w:p w14:paraId="63C1FA9B" w14:textId="77777777" w:rsidR="00D7373D" w:rsidRDefault="00B243FE">
            <w:pPr>
              <w:pStyle w:val="Akapitzlist"/>
              <w:numPr>
                <w:ilvl w:val="0"/>
                <w:numId w:val="8"/>
              </w:numPr>
              <w:spacing w:after="0" w:line="240" w:lineRule="auto"/>
              <w:ind w:left="326" w:hanging="284"/>
              <w:jc w:val="both"/>
              <w:rPr>
                <w:rFonts w:asciiTheme="majorHAnsi" w:hAnsiTheme="majorHAnsi" w:cstheme="majorHAnsi"/>
                <w:sz w:val="24"/>
                <w:szCs w:val="24"/>
              </w:rPr>
            </w:pPr>
            <w:r>
              <w:rPr>
                <w:rFonts w:asciiTheme="majorHAnsi" w:hAnsiTheme="majorHAnsi" w:cstheme="majorHAnsi"/>
                <w:sz w:val="24"/>
                <w:szCs w:val="24"/>
              </w:rPr>
              <w:t>Kryteria formalne muszą być tak zdefiniowane, aby pozwalały co najmniej na weryfikację, czy wniosek został złożony w  terminie, miejscu oraz formie, o których mowa w ogłoszeniu o naborze wniosków.</w:t>
            </w:r>
          </w:p>
          <w:p w14:paraId="6C62D6DC" w14:textId="77777777" w:rsidR="00D7373D" w:rsidRDefault="00B243FE">
            <w:pPr>
              <w:pStyle w:val="Akapitzlist"/>
              <w:numPr>
                <w:ilvl w:val="0"/>
                <w:numId w:val="8"/>
              </w:numPr>
              <w:spacing w:after="0" w:line="240" w:lineRule="auto"/>
              <w:ind w:left="326" w:hanging="284"/>
              <w:jc w:val="both"/>
              <w:rPr>
                <w:rFonts w:asciiTheme="majorHAnsi" w:hAnsiTheme="majorHAnsi" w:cstheme="majorHAnsi"/>
                <w:sz w:val="24"/>
                <w:szCs w:val="24"/>
              </w:rPr>
            </w:pPr>
            <w:r>
              <w:rPr>
                <w:rFonts w:asciiTheme="majorHAnsi" w:hAnsiTheme="majorHAnsi" w:cstheme="majorHAnsi"/>
                <w:sz w:val="24"/>
                <w:szCs w:val="24"/>
              </w:rPr>
              <w:t>Kryteria spełnienia warunków przyznania pomocy definiowane są w oparciu o:</w:t>
            </w:r>
          </w:p>
          <w:p w14:paraId="3CA6E506" w14:textId="77777777" w:rsidR="00D7373D" w:rsidRDefault="00B243FE">
            <w:pPr>
              <w:pStyle w:val="Akapitzlist"/>
              <w:numPr>
                <w:ilvl w:val="0"/>
                <w:numId w:val="9"/>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wytyczne Ministra Rolnictwa i Rozwoju Wsi - dla projektów realizowanych w ramach PS WPR,</w:t>
            </w:r>
          </w:p>
          <w:p w14:paraId="7672331A" w14:textId="77777777" w:rsidR="00D7373D" w:rsidRDefault="00B243FE">
            <w:pPr>
              <w:pStyle w:val="Akapitzlist"/>
              <w:numPr>
                <w:ilvl w:val="0"/>
                <w:numId w:val="9"/>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zasady i warunki obowiązujące dla EFS+ i EFRR - dla projektów realizowanych w ramach programu FEW.</w:t>
            </w:r>
          </w:p>
          <w:p w14:paraId="60AA10CB" w14:textId="528DB2B8" w:rsidR="00B83E3C" w:rsidRPr="00B83E3C" w:rsidRDefault="00B83E3C">
            <w:pPr>
              <w:pStyle w:val="Akapitzlist"/>
              <w:numPr>
                <w:ilvl w:val="0"/>
                <w:numId w:val="9"/>
              </w:numPr>
              <w:spacing w:after="0" w:line="240" w:lineRule="auto"/>
              <w:jc w:val="both"/>
              <w:rPr>
                <w:rFonts w:asciiTheme="majorHAnsi" w:hAnsiTheme="majorHAnsi" w:cstheme="majorHAnsi"/>
                <w:sz w:val="24"/>
                <w:szCs w:val="24"/>
                <w:highlight w:val="yellow"/>
              </w:rPr>
            </w:pPr>
            <w:r w:rsidRPr="00B83E3C">
              <w:rPr>
                <w:rFonts w:asciiTheme="majorHAnsi" w:hAnsiTheme="majorHAnsi" w:cstheme="majorHAnsi"/>
                <w:sz w:val="24"/>
                <w:szCs w:val="24"/>
                <w:highlight w:val="yellow"/>
              </w:rPr>
              <w:t>Umowę o warunkach i sposobach realizacji strategii rozwoju lokalnego wraz z późniejszymi aneksami.</w:t>
            </w:r>
          </w:p>
          <w:p w14:paraId="76DD3E54" w14:textId="77777777" w:rsidR="00D7373D" w:rsidRDefault="00B243FE">
            <w:pPr>
              <w:pStyle w:val="Akapitzlist"/>
              <w:numPr>
                <w:ilvl w:val="0"/>
                <w:numId w:val="8"/>
              </w:numPr>
              <w:spacing w:after="0" w:line="240" w:lineRule="auto"/>
              <w:ind w:left="321" w:hanging="284"/>
              <w:jc w:val="both"/>
              <w:rPr>
                <w:rFonts w:asciiTheme="majorHAnsi" w:hAnsiTheme="majorHAnsi" w:cstheme="majorHAnsi"/>
                <w:sz w:val="24"/>
                <w:szCs w:val="24"/>
              </w:rPr>
            </w:pPr>
            <w:r>
              <w:rPr>
                <w:rFonts w:asciiTheme="majorHAnsi" w:hAnsiTheme="majorHAnsi" w:cstheme="majorHAnsi"/>
                <w:sz w:val="24"/>
                <w:szCs w:val="24"/>
              </w:rPr>
              <w:t>Kryteria zgodności operacji z LSR dotyczą zgodności z celami, przedsięwzięciami oraz wskaźnikami określonymi w LSR</w:t>
            </w:r>
            <w:r>
              <w:rPr>
                <w:rFonts w:asciiTheme="majorHAnsi" w:hAnsiTheme="majorHAnsi" w:cstheme="majorHAnsi"/>
              </w:rPr>
              <w:t>.</w:t>
            </w:r>
          </w:p>
        </w:tc>
      </w:tr>
      <w:tr w:rsidR="00D7373D" w14:paraId="7D16F151" w14:textId="77777777">
        <w:trPr>
          <w:trHeight w:val="648"/>
        </w:trPr>
        <w:tc>
          <w:tcPr>
            <w:tcW w:w="784" w:type="dxa"/>
            <w:vAlign w:val="center"/>
          </w:tcPr>
          <w:p w14:paraId="2C9878D2" w14:textId="77777777" w:rsidR="00D7373D" w:rsidRDefault="00B243F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C.</w:t>
            </w:r>
          </w:p>
        </w:tc>
        <w:tc>
          <w:tcPr>
            <w:tcW w:w="1770" w:type="dxa"/>
            <w:vAlign w:val="center"/>
          </w:tcPr>
          <w:p w14:paraId="1B87CDF2" w14:textId="77777777" w:rsidR="00D7373D" w:rsidRDefault="00B243FE">
            <w:pPr>
              <w:spacing w:after="0" w:line="240" w:lineRule="auto"/>
              <w:ind w:left="-44" w:right="-165"/>
              <w:jc w:val="center"/>
              <w:rPr>
                <w:rFonts w:asciiTheme="majorHAnsi" w:hAnsiTheme="majorHAnsi" w:cstheme="majorHAnsi"/>
                <w:sz w:val="24"/>
                <w:szCs w:val="24"/>
              </w:rPr>
            </w:pPr>
            <w:r>
              <w:rPr>
                <w:rFonts w:asciiTheme="majorHAnsi" w:hAnsiTheme="majorHAnsi" w:cstheme="majorHAnsi"/>
                <w:sz w:val="24"/>
                <w:szCs w:val="24"/>
              </w:rPr>
              <w:t>Rada LGD/</w:t>
            </w:r>
          </w:p>
          <w:p w14:paraId="58954E48" w14:textId="77777777" w:rsidR="00D7373D" w:rsidRDefault="00B243FE">
            <w:pPr>
              <w:spacing w:after="0" w:line="240" w:lineRule="auto"/>
              <w:ind w:left="-44" w:right="-165"/>
              <w:jc w:val="center"/>
              <w:rPr>
                <w:rFonts w:asciiTheme="majorHAnsi" w:hAnsiTheme="majorHAnsi" w:cstheme="majorHAnsi"/>
                <w:sz w:val="24"/>
                <w:szCs w:val="24"/>
              </w:rPr>
            </w:pPr>
            <w:r>
              <w:rPr>
                <w:rFonts w:asciiTheme="majorHAnsi" w:hAnsiTheme="majorHAnsi" w:cstheme="majorHAnsi"/>
                <w:sz w:val="24"/>
                <w:szCs w:val="24"/>
              </w:rPr>
              <w:t>Zarząd LGD/</w:t>
            </w:r>
          </w:p>
          <w:p w14:paraId="65A13DC5" w14:textId="77777777" w:rsidR="00D7373D" w:rsidRDefault="00B243FE">
            <w:pPr>
              <w:spacing w:after="0" w:line="240" w:lineRule="auto"/>
              <w:ind w:left="-44" w:right="-165"/>
              <w:jc w:val="center"/>
              <w:rPr>
                <w:rFonts w:asciiTheme="majorHAnsi" w:hAnsiTheme="majorHAnsi" w:cstheme="majorHAnsi"/>
                <w:sz w:val="24"/>
                <w:szCs w:val="24"/>
              </w:rPr>
            </w:pPr>
            <w:r>
              <w:rPr>
                <w:rFonts w:asciiTheme="majorHAnsi" w:hAnsiTheme="majorHAnsi" w:cstheme="majorHAnsi"/>
                <w:sz w:val="24"/>
                <w:szCs w:val="24"/>
              </w:rPr>
              <w:t>/Zespół ds. LSR</w:t>
            </w:r>
          </w:p>
        </w:tc>
        <w:tc>
          <w:tcPr>
            <w:tcW w:w="13039" w:type="dxa"/>
            <w:shd w:val="clear" w:color="auto" w:fill="FFFFFF" w:themeFill="background1"/>
            <w:vAlign w:val="center"/>
          </w:tcPr>
          <w:p w14:paraId="31619287" w14:textId="77777777" w:rsidR="00D7373D" w:rsidRDefault="00B243FE">
            <w:pPr>
              <w:spacing w:after="0" w:line="240" w:lineRule="auto"/>
              <w:ind w:left="326" w:hanging="290"/>
              <w:rPr>
                <w:rFonts w:asciiTheme="majorHAnsi" w:hAnsiTheme="majorHAnsi" w:cstheme="majorHAnsi"/>
                <w:sz w:val="24"/>
                <w:szCs w:val="24"/>
              </w:rPr>
            </w:pPr>
            <w:r>
              <w:rPr>
                <w:rFonts w:asciiTheme="majorHAnsi" w:hAnsiTheme="majorHAnsi" w:cstheme="majorHAnsi"/>
                <w:sz w:val="24"/>
                <w:szCs w:val="24"/>
              </w:rPr>
              <w:t>1.</w:t>
            </w:r>
            <w:r>
              <w:rPr>
                <w:rFonts w:asciiTheme="majorHAnsi" w:hAnsiTheme="majorHAnsi" w:cstheme="majorHAnsi"/>
                <w:sz w:val="24"/>
                <w:szCs w:val="24"/>
              </w:rPr>
              <w:tab/>
              <w:t>W kryteriach wyboru dotyczących operacji finansowanych z EFRROW</w:t>
            </w:r>
            <w:r>
              <w:rPr>
                <w:rFonts w:asciiTheme="majorHAnsi" w:hAnsiTheme="majorHAnsi" w:cstheme="majorHAnsi"/>
                <w:sz w:val="28"/>
                <w:szCs w:val="28"/>
              </w:rPr>
              <w:t xml:space="preserve"> </w:t>
            </w:r>
            <w:r>
              <w:rPr>
                <w:rFonts w:asciiTheme="majorHAnsi" w:hAnsiTheme="majorHAnsi" w:cstheme="majorHAnsi"/>
                <w:sz w:val="24"/>
                <w:szCs w:val="24"/>
              </w:rPr>
              <w:t xml:space="preserve">uwzględnia się zapisy premiujące wnioski w jak największym stopniu przyczyniające się do realizacji wskaźników produktu zawartych w LSR. LGD zastosuje o ile wynika to z oferowanego </w:t>
            </w:r>
            <w:r>
              <w:rPr>
                <w:rFonts w:asciiTheme="majorHAnsi" w:hAnsiTheme="majorHAnsi" w:cstheme="majorHAnsi"/>
                <w:sz w:val="24"/>
                <w:szCs w:val="24"/>
              </w:rPr>
              <w:lastRenderedPageBreak/>
              <w:t>zakresu wsparcia co najmniej (o ile to możliwe) dwa z poniższych rankingujących kryteriów pozwalających na wybór operacji oraz operacji własnych:</w:t>
            </w:r>
          </w:p>
          <w:p w14:paraId="66773B8D" w14:textId="77777777"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zapewniających racjonalne gospodarowanie zasobami lub ograniczających presję na środowisko;</w:t>
            </w:r>
          </w:p>
          <w:p w14:paraId="2F550A55" w14:textId="77777777"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dedykowanych dla mieszkańców obszarów wiejskich, wykluczonych społecznie ze względu na przynależność do zdiagnozowanych w LSR grup w niekorzystnej sytuacji;</w:t>
            </w:r>
          </w:p>
          <w:p w14:paraId="151BF694" w14:textId="36A570EF"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realizowanych w partnerstwie (z wyłączeniem operacji, które z zasady są realizowane w partnerstwie</w:t>
            </w:r>
            <w:r w:rsidR="00B83E3C">
              <w:rPr>
                <w:rFonts w:asciiTheme="majorHAnsi" w:hAnsiTheme="majorHAnsi" w:cstheme="majorHAnsi"/>
                <w:strike/>
                <w:sz w:val="24"/>
                <w:szCs w:val="24"/>
              </w:rPr>
              <w:t>.</w:t>
            </w:r>
          </w:p>
          <w:p w14:paraId="412775E5" w14:textId="77777777"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zintegrowanych (łączące różne dziedziny, tematyki, gospodarki, w celu kompleksowego zaspokojenia zdiagnozowanych potrzeb społeczności);</w:t>
            </w:r>
          </w:p>
          <w:p w14:paraId="6643BC93" w14:textId="77777777"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innowacyjnych, gdzie innowacja jest określona na poziomie LSR (z uwzględnieniem stopnia rozwoju danego obszaru);</w:t>
            </w:r>
          </w:p>
          <w:p w14:paraId="2B384F41" w14:textId="77777777"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 xml:space="preserve">wykorzystujących lokalny potencjał (najlepiej endemiczny) tj. np. zasoby naturalne, w tym przyrodnicze, lokalizację, dziedzictwo lokalne, w tym kulinarne, popyt na szczególnego rodzaju usługi (np. srebrna gospodarka lub usługi opiekuńcze nad dziećmi) itp.; </w:t>
            </w:r>
          </w:p>
          <w:p w14:paraId="70452DBB" w14:textId="77777777" w:rsidR="00D7373D" w:rsidRDefault="00B243FE">
            <w:pPr>
              <w:pStyle w:val="Akapitzlist"/>
              <w:numPr>
                <w:ilvl w:val="1"/>
                <w:numId w:val="10"/>
              </w:numPr>
              <w:spacing w:after="0" w:line="240" w:lineRule="auto"/>
              <w:ind w:left="751" w:hanging="425"/>
              <w:jc w:val="both"/>
              <w:rPr>
                <w:rFonts w:asciiTheme="majorHAnsi" w:hAnsiTheme="majorHAnsi" w:cstheme="majorHAnsi"/>
                <w:sz w:val="24"/>
                <w:szCs w:val="24"/>
              </w:rPr>
            </w:pPr>
            <w:r>
              <w:rPr>
                <w:rFonts w:asciiTheme="majorHAnsi" w:hAnsiTheme="majorHAnsi" w:cstheme="majorHAnsi"/>
                <w:sz w:val="24"/>
                <w:szCs w:val="24"/>
              </w:rPr>
              <w:t>zapewniających tworzenie nowych miejsc pracy oraz zatrudnienie na nich pracowników, jeżeli taką deklarację złożył wnioskodawca w celu uzyskania dodatkowych punktów za spełnienie kryteriów wyboru.</w:t>
            </w:r>
          </w:p>
          <w:p w14:paraId="09BB0E5C" w14:textId="77777777" w:rsidR="00D7373D" w:rsidRDefault="00B243FE">
            <w:pPr>
              <w:pStyle w:val="Akapitzlist"/>
              <w:numPr>
                <w:ilvl w:val="0"/>
                <w:numId w:val="5"/>
              </w:numPr>
              <w:spacing w:after="0" w:line="240" w:lineRule="auto"/>
              <w:ind w:left="321" w:hanging="321"/>
              <w:jc w:val="both"/>
              <w:rPr>
                <w:rFonts w:asciiTheme="majorHAnsi" w:hAnsiTheme="majorHAnsi" w:cstheme="majorHAnsi"/>
                <w:sz w:val="24"/>
                <w:szCs w:val="24"/>
              </w:rPr>
            </w:pPr>
            <w:r>
              <w:rPr>
                <w:rFonts w:asciiTheme="majorHAnsi" w:hAnsiTheme="majorHAnsi" w:cstheme="majorHAnsi"/>
                <w:sz w:val="24"/>
                <w:szCs w:val="24"/>
              </w:rPr>
              <w:t>Kryteria wyboru będą zgodne z kryteriami ustanowionymi dla Programu</w:t>
            </w:r>
            <w:r>
              <w:t xml:space="preserve"> </w:t>
            </w:r>
            <w:r>
              <w:rPr>
                <w:rFonts w:ascii="Calibri Light" w:hAnsi="Calibri Light" w:cs="Calibri Light"/>
                <w:sz w:val="24"/>
                <w:szCs w:val="24"/>
              </w:rPr>
              <w:t>Fundusze Europejskie dla Wielkopolski 2021-2027</w:t>
            </w:r>
            <w:r>
              <w:rPr>
                <w:rFonts w:ascii="Calibri Light" w:hAnsi="Calibri Light" w:cs="Calibri Light"/>
                <w:sz w:val="24"/>
                <w:szCs w:val="24"/>
              </w:rPr>
              <w:br/>
            </w:r>
            <w:r>
              <w:rPr>
                <w:rFonts w:asciiTheme="majorHAnsi" w:hAnsiTheme="majorHAnsi" w:cstheme="majorHAnsi"/>
                <w:sz w:val="24"/>
                <w:szCs w:val="24"/>
              </w:rPr>
              <w:t>w odniesieniu do właściwego typu projektu i funduszu (EFRR lub EFS+),</w:t>
            </w:r>
            <w:r>
              <w:t xml:space="preserve"> </w:t>
            </w:r>
            <w:r>
              <w:rPr>
                <w:rFonts w:asciiTheme="majorHAnsi" w:hAnsiTheme="majorHAnsi" w:cstheme="majorHAnsi"/>
                <w:sz w:val="24"/>
                <w:szCs w:val="24"/>
              </w:rPr>
              <w:t xml:space="preserve">a w określonych przypadkach promowane będą projekty wpisujące się w inicjatywę Nowy Europejski </w:t>
            </w:r>
            <w:proofErr w:type="spellStart"/>
            <w:r>
              <w:rPr>
                <w:rFonts w:asciiTheme="majorHAnsi" w:hAnsiTheme="majorHAnsi" w:cstheme="majorHAnsi"/>
                <w:sz w:val="24"/>
                <w:szCs w:val="24"/>
              </w:rPr>
              <w:t>Bauhaus</w:t>
            </w:r>
            <w:proofErr w:type="spellEnd"/>
            <w:r>
              <w:rPr>
                <w:rFonts w:asciiTheme="majorHAnsi" w:hAnsiTheme="majorHAnsi" w:cstheme="majorHAnsi"/>
                <w:sz w:val="24"/>
                <w:szCs w:val="24"/>
              </w:rPr>
              <w:t>.</w:t>
            </w:r>
          </w:p>
          <w:p w14:paraId="5CB63A10" w14:textId="77777777" w:rsidR="00D7373D" w:rsidRDefault="00B243FE">
            <w:pPr>
              <w:pStyle w:val="Akapitzlist"/>
              <w:numPr>
                <w:ilvl w:val="0"/>
                <w:numId w:val="5"/>
              </w:numPr>
              <w:spacing w:after="0" w:line="240" w:lineRule="auto"/>
              <w:ind w:left="321" w:hanging="321"/>
              <w:jc w:val="both"/>
              <w:rPr>
                <w:rFonts w:asciiTheme="majorHAnsi" w:hAnsiTheme="majorHAnsi" w:cstheme="majorHAnsi"/>
                <w:sz w:val="24"/>
                <w:szCs w:val="24"/>
              </w:rPr>
            </w:pPr>
            <w:r>
              <w:rPr>
                <w:rFonts w:asciiTheme="majorHAnsi" w:hAnsiTheme="majorHAnsi" w:cstheme="majorHAnsi"/>
                <w:sz w:val="24"/>
                <w:szCs w:val="24"/>
              </w:rPr>
              <w:t>Kryteria ustalone w sposób opisany powyżej przyjmowane są przez Zarząd LGD w formie uchwały.</w:t>
            </w:r>
          </w:p>
          <w:p w14:paraId="6D412F7A" w14:textId="77777777" w:rsidR="00D7373D" w:rsidRDefault="00B243FE">
            <w:pPr>
              <w:pStyle w:val="Akapitzlist"/>
              <w:numPr>
                <w:ilvl w:val="0"/>
                <w:numId w:val="5"/>
              </w:numPr>
              <w:spacing w:after="0" w:line="240" w:lineRule="auto"/>
              <w:ind w:left="321" w:hanging="321"/>
              <w:jc w:val="both"/>
              <w:rPr>
                <w:rFonts w:asciiTheme="majorHAnsi" w:hAnsiTheme="majorHAnsi" w:cstheme="majorHAnsi"/>
                <w:sz w:val="24"/>
                <w:szCs w:val="24"/>
              </w:rPr>
            </w:pPr>
            <w:r>
              <w:rPr>
                <w:rFonts w:asciiTheme="majorHAnsi" w:hAnsiTheme="majorHAnsi" w:cstheme="majorHAnsi"/>
                <w:sz w:val="24"/>
                <w:szCs w:val="24"/>
              </w:rPr>
              <w:t>Przyjęte kryteria są przekazywane przez Zarząd LGD do zatwierdzenia przez ZW.</w:t>
            </w:r>
          </w:p>
        </w:tc>
      </w:tr>
      <w:tr w:rsidR="00D7373D" w14:paraId="1F88D0B7" w14:textId="77777777">
        <w:trPr>
          <w:cantSplit/>
          <w:trHeight w:val="440"/>
        </w:trPr>
        <w:tc>
          <w:tcPr>
            <w:tcW w:w="15593" w:type="dxa"/>
            <w:gridSpan w:val="3"/>
            <w:shd w:val="clear" w:color="auto" w:fill="B4C6E7" w:themeFill="accent1" w:themeFillTint="66"/>
            <w:vAlign w:val="center"/>
          </w:tcPr>
          <w:p w14:paraId="135400D2" w14:textId="77777777" w:rsidR="00D7373D" w:rsidRDefault="00B243FE">
            <w:pPr>
              <w:pStyle w:val="Akapitzlist"/>
              <w:numPr>
                <w:ilvl w:val="0"/>
                <w:numId w:val="4"/>
              </w:numPr>
              <w:spacing w:after="0" w:line="240" w:lineRule="auto"/>
              <w:ind w:left="464" w:hanging="426"/>
              <w:jc w:val="center"/>
              <w:rPr>
                <w:rFonts w:asciiTheme="majorHAnsi" w:hAnsiTheme="majorHAnsi" w:cstheme="majorHAnsi"/>
                <w:sz w:val="24"/>
                <w:szCs w:val="24"/>
              </w:rPr>
            </w:pPr>
            <w:r>
              <w:rPr>
                <w:rFonts w:asciiTheme="majorHAnsi" w:hAnsiTheme="majorHAnsi" w:cstheme="majorHAnsi"/>
                <w:b/>
                <w:bCs/>
                <w:sz w:val="24"/>
                <w:szCs w:val="24"/>
              </w:rPr>
              <w:lastRenderedPageBreak/>
              <w:t>ZGŁASZANIE I ZATWIERDZANIE</w:t>
            </w:r>
            <w:r>
              <w:rPr>
                <w:rFonts w:asciiTheme="majorHAnsi" w:hAnsiTheme="majorHAnsi" w:cstheme="majorHAnsi"/>
                <w:sz w:val="24"/>
                <w:szCs w:val="24"/>
              </w:rPr>
              <w:t xml:space="preserve"> </w:t>
            </w:r>
            <w:r>
              <w:rPr>
                <w:rFonts w:asciiTheme="majorHAnsi" w:hAnsiTheme="majorHAnsi" w:cstheme="majorHAnsi"/>
                <w:b/>
                <w:bCs/>
                <w:sz w:val="24"/>
                <w:szCs w:val="24"/>
              </w:rPr>
              <w:t xml:space="preserve">ZMIANY KRYTERIÓW WYBORU </w:t>
            </w:r>
          </w:p>
        </w:tc>
      </w:tr>
      <w:tr w:rsidR="00D7373D" w14:paraId="46132680" w14:textId="77777777">
        <w:trPr>
          <w:cantSplit/>
          <w:trHeight w:val="2730"/>
        </w:trPr>
        <w:tc>
          <w:tcPr>
            <w:tcW w:w="784" w:type="dxa"/>
            <w:vAlign w:val="center"/>
          </w:tcPr>
          <w:p w14:paraId="35587020" w14:textId="77777777" w:rsidR="00D7373D" w:rsidRDefault="00B243F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lastRenderedPageBreak/>
              <w:t>A.</w:t>
            </w:r>
          </w:p>
        </w:tc>
        <w:tc>
          <w:tcPr>
            <w:tcW w:w="1770" w:type="dxa"/>
            <w:vAlign w:val="center"/>
          </w:tcPr>
          <w:p w14:paraId="3E68EC09" w14:textId="77777777" w:rsidR="00D7373D" w:rsidRPr="00B83E3C" w:rsidRDefault="00B243FE">
            <w:pPr>
              <w:spacing w:after="0" w:line="240" w:lineRule="auto"/>
              <w:jc w:val="center"/>
              <w:rPr>
                <w:rFonts w:asciiTheme="majorHAnsi" w:hAnsiTheme="majorHAnsi" w:cstheme="majorHAnsi"/>
                <w:sz w:val="28"/>
                <w:szCs w:val="28"/>
              </w:rPr>
            </w:pPr>
            <w:r w:rsidRPr="00B83E3C">
              <w:rPr>
                <w:rFonts w:asciiTheme="majorHAnsi" w:hAnsiTheme="majorHAnsi" w:cstheme="majorHAnsi"/>
                <w:sz w:val="24"/>
                <w:szCs w:val="24"/>
              </w:rPr>
              <w:t>Biuro LGD</w:t>
            </w:r>
          </w:p>
          <w:p w14:paraId="269FE660" w14:textId="77777777" w:rsidR="00D7373D" w:rsidRPr="00B83E3C" w:rsidRDefault="00B243FE">
            <w:pPr>
              <w:spacing w:after="0" w:line="240" w:lineRule="auto"/>
              <w:jc w:val="center"/>
              <w:rPr>
                <w:rFonts w:asciiTheme="majorHAnsi" w:hAnsiTheme="majorHAnsi" w:cstheme="majorHAnsi"/>
                <w:sz w:val="24"/>
                <w:szCs w:val="24"/>
              </w:rPr>
            </w:pPr>
            <w:r w:rsidRPr="00B83E3C">
              <w:rPr>
                <w:rFonts w:asciiTheme="majorHAnsi" w:hAnsiTheme="majorHAnsi" w:cstheme="majorHAnsi"/>
                <w:sz w:val="24"/>
                <w:szCs w:val="24"/>
              </w:rPr>
              <w:t xml:space="preserve">Rada LGD / </w:t>
            </w:r>
          </w:p>
          <w:p w14:paraId="750FDB2D" w14:textId="77777777" w:rsidR="00D7373D" w:rsidRPr="00B83E3C" w:rsidRDefault="00B243FE">
            <w:pPr>
              <w:spacing w:after="0" w:line="240" w:lineRule="auto"/>
              <w:jc w:val="center"/>
              <w:rPr>
                <w:rFonts w:asciiTheme="majorHAnsi" w:hAnsiTheme="majorHAnsi" w:cstheme="majorHAnsi"/>
                <w:sz w:val="24"/>
                <w:szCs w:val="24"/>
              </w:rPr>
            </w:pPr>
            <w:r w:rsidRPr="00B83E3C">
              <w:rPr>
                <w:rFonts w:asciiTheme="majorHAnsi" w:hAnsiTheme="majorHAnsi" w:cstheme="majorHAnsi"/>
                <w:sz w:val="24"/>
                <w:szCs w:val="24"/>
              </w:rPr>
              <w:t>Zespół ds. LSR/</w:t>
            </w:r>
          </w:p>
          <w:p w14:paraId="2268069F" w14:textId="77777777" w:rsidR="00D7373D" w:rsidRPr="00B83E3C" w:rsidRDefault="00B243FE">
            <w:pPr>
              <w:spacing w:after="0" w:line="240" w:lineRule="auto"/>
              <w:jc w:val="center"/>
              <w:rPr>
                <w:rFonts w:asciiTheme="majorHAnsi" w:hAnsiTheme="majorHAnsi" w:cstheme="majorHAnsi"/>
                <w:sz w:val="24"/>
                <w:szCs w:val="24"/>
              </w:rPr>
            </w:pPr>
            <w:r w:rsidRPr="00B83E3C">
              <w:rPr>
                <w:rFonts w:asciiTheme="majorHAnsi" w:hAnsiTheme="majorHAnsi" w:cstheme="majorHAnsi"/>
                <w:sz w:val="24"/>
                <w:szCs w:val="24"/>
              </w:rPr>
              <w:t xml:space="preserve">Zarząd LGD  </w:t>
            </w:r>
          </w:p>
          <w:p w14:paraId="73DCCF9C" w14:textId="77777777" w:rsidR="00D7373D" w:rsidRPr="00B83E3C" w:rsidRDefault="00D7373D">
            <w:pPr>
              <w:spacing w:after="0" w:line="240" w:lineRule="auto"/>
              <w:jc w:val="center"/>
              <w:rPr>
                <w:rFonts w:asciiTheme="majorHAnsi" w:hAnsiTheme="majorHAnsi" w:cstheme="majorHAnsi"/>
                <w:sz w:val="24"/>
                <w:szCs w:val="24"/>
              </w:rPr>
            </w:pPr>
          </w:p>
        </w:tc>
        <w:tc>
          <w:tcPr>
            <w:tcW w:w="13039" w:type="dxa"/>
            <w:vAlign w:val="center"/>
          </w:tcPr>
          <w:p w14:paraId="3587B6DB"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trike/>
                <w:sz w:val="24"/>
                <w:szCs w:val="24"/>
              </w:rPr>
            </w:pPr>
            <w:r w:rsidRPr="00B83E3C">
              <w:rPr>
                <w:rFonts w:asciiTheme="majorHAnsi" w:hAnsiTheme="majorHAnsi" w:cstheme="majorHAnsi"/>
                <w:sz w:val="24"/>
                <w:szCs w:val="24"/>
              </w:rPr>
              <w:t xml:space="preserve">Prawo występowania z inicjatywą w sprawie zmiany kryteriów wyboru posiadają członkowie Rady LGD, Zarządu LGD oraz mieszańcy obszaru LSR (lokalna społeczność). </w:t>
            </w:r>
          </w:p>
          <w:p w14:paraId="64232341"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Zmiany kryteriów mogą także wynikać ze zmiany legislacji lub z zaleceń ZW.</w:t>
            </w:r>
          </w:p>
          <w:p w14:paraId="5FD0BD48"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 xml:space="preserve">Wniosek o zmianę kryteriów wyboru należy złożyć w Biurze LGD w formie pisemnej na formularzu udostępnionym przez LGD, listem tradycyjnym, pocztą elektroniczną lub osobiście. </w:t>
            </w:r>
          </w:p>
          <w:p w14:paraId="56C48BD0"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 xml:space="preserve">Składany Wniosek o zmianę kryteriów zawiera propozycję nowych kryteriów wyboru oraz uzasadnienie proponowanych zmian. </w:t>
            </w:r>
          </w:p>
          <w:p w14:paraId="1ED69C5E"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Pracownicy Biura LGD niezwłocznie zgłaszają Radzie LGD propozycję zmiany kryteriów wyboru, która skonsultowana jest ze społecznością lokalną poprzez umieszczenie jej na stronie internetowej LGD.</w:t>
            </w:r>
          </w:p>
          <w:p w14:paraId="5EDE049C"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Proces konsultacji trwa 3 dni od dnia podania wniosku do publicznej wiadomości.</w:t>
            </w:r>
          </w:p>
          <w:p w14:paraId="76E97750" w14:textId="259012C5"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 xml:space="preserve">Po zakończonych konsultacjach społecznych Zespół ds. LSR dokonuje analizy propozycji zmiany kryteriów oraz wniosków z konsultacji społecznych, biorąc pod uwagę ich wpływ na proces wdrażania LSR, a następnie w formie uchwały, zatwierdza bądź odrzuca propozycje zmian kryteriów. LGD informuje na swojej stronie internetowej, czy propozycje zmiany kryteriów zostały przyjęte bądź odrzucone wraz z uzasadnieniem. </w:t>
            </w:r>
          </w:p>
          <w:p w14:paraId="66792EAA"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Jeśli nastąpiła zmiana kryteriów, Zarząd LGD występuje z wnioskiem do ZW o zatwierdzenie zmian kryteriów wyboru.</w:t>
            </w:r>
          </w:p>
          <w:p w14:paraId="1D735F07"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z w:val="24"/>
                <w:szCs w:val="24"/>
              </w:rPr>
            </w:pPr>
            <w:r w:rsidRPr="00B83E3C">
              <w:rPr>
                <w:rFonts w:asciiTheme="majorHAnsi" w:hAnsiTheme="majorHAnsi" w:cstheme="majorHAnsi"/>
                <w:sz w:val="24"/>
                <w:szCs w:val="24"/>
              </w:rPr>
              <w:t>Po zatwierdzeniu kryteriów przez ZW, zostają one podane do publicznej wiadomości na stronie internetowej LGD.</w:t>
            </w:r>
          </w:p>
          <w:p w14:paraId="129064BB"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trike/>
                <w:sz w:val="24"/>
                <w:szCs w:val="24"/>
              </w:rPr>
            </w:pPr>
            <w:r w:rsidRPr="00B83E3C">
              <w:rPr>
                <w:rFonts w:asciiTheme="majorHAnsi" w:hAnsiTheme="majorHAnsi" w:cstheme="majorHAnsi"/>
                <w:sz w:val="24"/>
                <w:szCs w:val="24"/>
              </w:rPr>
              <w:t xml:space="preserve">W przypadku zmiany kryteriów będącej następstwem zmian obowiązkowych wynikających ze zmiany legislacji, a także wynikających z </w:t>
            </w:r>
            <w:r w:rsidRPr="00B83E3C">
              <w:rPr>
                <w:rFonts w:ascii="Calibri Light" w:hAnsi="Calibri Light" w:cs="Calibri Light"/>
                <w:sz w:val="24"/>
                <w:szCs w:val="24"/>
              </w:rPr>
              <w:t>zaleceń</w:t>
            </w:r>
            <w:r w:rsidRPr="00B83E3C">
              <w:rPr>
                <w:rFonts w:ascii="Calibri Light" w:hAnsi="Calibri Light" w:cs="Calibri Light"/>
              </w:rPr>
              <w:t xml:space="preserve"> </w:t>
            </w:r>
            <w:r w:rsidRPr="00B83E3C">
              <w:rPr>
                <w:rFonts w:asciiTheme="majorHAnsi" w:hAnsiTheme="majorHAnsi" w:cstheme="majorHAnsi"/>
                <w:sz w:val="24"/>
                <w:szCs w:val="24"/>
              </w:rPr>
              <w:t>instytucji nadrzędnych dla LGD, w tym np. z czynności kontrolnych, zmiany w kryteriach mogą być wprowadzane jako obowiązkowe z pominięciem powyższej procedury.</w:t>
            </w:r>
          </w:p>
          <w:p w14:paraId="411EE2BC"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trike/>
                <w:sz w:val="24"/>
                <w:szCs w:val="24"/>
              </w:rPr>
            </w:pPr>
            <w:r w:rsidRPr="00B83E3C">
              <w:rPr>
                <w:rFonts w:asciiTheme="majorHAnsi" w:hAnsiTheme="majorHAnsi" w:cstheme="majorHAnsi"/>
                <w:sz w:val="24"/>
                <w:szCs w:val="24"/>
              </w:rPr>
              <w:t xml:space="preserve">Zmienione kryteria wyboru obowiązują dla nieogłoszonych jeszcze naborów. </w:t>
            </w:r>
          </w:p>
          <w:p w14:paraId="729DA0DB" w14:textId="77777777" w:rsidR="00D7373D" w:rsidRPr="00B83E3C" w:rsidRDefault="00B243FE">
            <w:pPr>
              <w:pStyle w:val="Akapitzlist"/>
              <w:numPr>
                <w:ilvl w:val="0"/>
                <w:numId w:val="11"/>
              </w:numPr>
              <w:spacing w:after="0" w:line="240" w:lineRule="auto"/>
              <w:ind w:left="465" w:hanging="465"/>
              <w:jc w:val="both"/>
              <w:rPr>
                <w:rFonts w:asciiTheme="majorHAnsi" w:hAnsiTheme="majorHAnsi" w:cstheme="majorHAnsi"/>
                <w:strike/>
                <w:sz w:val="24"/>
                <w:szCs w:val="24"/>
              </w:rPr>
            </w:pPr>
            <w:r w:rsidRPr="00B83E3C">
              <w:rPr>
                <w:rFonts w:asciiTheme="majorHAnsi" w:hAnsiTheme="majorHAnsi" w:cstheme="majorHAnsi"/>
                <w:sz w:val="24"/>
                <w:szCs w:val="24"/>
              </w:rPr>
              <w:t>Wszelkie zmiany kryteriów wyboru wymagają formy uchwały Zarządu LGD.</w:t>
            </w:r>
          </w:p>
        </w:tc>
      </w:tr>
    </w:tbl>
    <w:p w14:paraId="170413F6" w14:textId="77777777" w:rsidR="00D7373D" w:rsidRDefault="00D7373D">
      <w:pPr>
        <w:tabs>
          <w:tab w:val="left" w:pos="426"/>
        </w:tabs>
        <w:spacing w:after="0" w:line="240" w:lineRule="auto"/>
        <w:jc w:val="both"/>
        <w:rPr>
          <w:rFonts w:asciiTheme="majorHAnsi" w:hAnsiTheme="majorHAnsi" w:cstheme="majorHAnsi"/>
          <w:sz w:val="2"/>
          <w:szCs w:val="2"/>
        </w:rPr>
      </w:pPr>
    </w:p>
    <w:sectPr w:rsidR="00D7373D">
      <w:footerReference w:type="default" r:id="rId8"/>
      <w:pgSz w:w="16838" w:h="11906" w:orient="landscape"/>
      <w:pgMar w:top="720" w:right="720" w:bottom="720" w:left="72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5061" w14:textId="77777777" w:rsidR="00B243FE" w:rsidRDefault="00B243FE">
      <w:pPr>
        <w:spacing w:line="240" w:lineRule="auto"/>
      </w:pPr>
      <w:r>
        <w:separator/>
      </w:r>
    </w:p>
  </w:endnote>
  <w:endnote w:type="continuationSeparator" w:id="0">
    <w:p w14:paraId="3DEEA43D" w14:textId="77777777" w:rsidR="00B243FE" w:rsidRDefault="00B243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913160"/>
    </w:sdtPr>
    <w:sdtEndPr/>
    <w:sdtContent>
      <w:p w14:paraId="7F79F61E" w14:textId="77777777" w:rsidR="00D7373D" w:rsidRDefault="00B243FE">
        <w:pPr>
          <w:pStyle w:val="Stopka"/>
          <w:jc w:val="right"/>
        </w:pPr>
        <w:r>
          <w:fldChar w:fldCharType="begin"/>
        </w:r>
        <w:r>
          <w:instrText>PAGE   \* MERGEFORMAT</w:instrText>
        </w:r>
        <w:r>
          <w:fldChar w:fldCharType="separate"/>
        </w:r>
        <w:r>
          <w:t>1</w:t>
        </w:r>
        <w:r>
          <w:fldChar w:fldCharType="end"/>
        </w:r>
      </w:p>
    </w:sdtContent>
  </w:sdt>
  <w:p w14:paraId="3E95B7AD" w14:textId="77777777" w:rsidR="00D7373D" w:rsidRDefault="00D737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D25A9" w14:textId="77777777" w:rsidR="00B243FE" w:rsidRDefault="00B243FE">
      <w:pPr>
        <w:spacing w:after="0"/>
      </w:pPr>
      <w:r>
        <w:separator/>
      </w:r>
    </w:p>
  </w:footnote>
  <w:footnote w:type="continuationSeparator" w:id="0">
    <w:p w14:paraId="2175F411" w14:textId="77777777" w:rsidR="00B243FE" w:rsidRDefault="00B243F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3C1F"/>
    <w:multiLevelType w:val="multilevel"/>
    <w:tmpl w:val="04903C1F"/>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3B67F2"/>
    <w:multiLevelType w:val="multilevel"/>
    <w:tmpl w:val="173B67F2"/>
    <w:lvl w:ilvl="0">
      <w:start w:val="1"/>
      <w:numFmt w:val="decimal"/>
      <w:lvlText w:val="%1."/>
      <w:lvlJc w:val="left"/>
      <w:pPr>
        <w:ind w:left="506" w:hanging="360"/>
      </w:pPr>
      <w:rPr>
        <w:rFonts w:hint="default"/>
        <w:strike w:val="0"/>
      </w:rPr>
    </w:lvl>
    <w:lvl w:ilvl="1">
      <w:start w:val="1"/>
      <w:numFmt w:val="lowerLetter"/>
      <w:lvlText w:val="%2."/>
      <w:lvlJc w:val="left"/>
      <w:pPr>
        <w:ind w:left="1226" w:hanging="360"/>
      </w:pPr>
    </w:lvl>
    <w:lvl w:ilvl="2">
      <w:start w:val="1"/>
      <w:numFmt w:val="lowerRoman"/>
      <w:lvlText w:val="%3."/>
      <w:lvlJc w:val="right"/>
      <w:pPr>
        <w:ind w:left="1946" w:hanging="180"/>
      </w:pPr>
    </w:lvl>
    <w:lvl w:ilvl="3">
      <w:start w:val="1"/>
      <w:numFmt w:val="decimal"/>
      <w:lvlText w:val="%4."/>
      <w:lvlJc w:val="left"/>
      <w:pPr>
        <w:ind w:left="2666" w:hanging="360"/>
      </w:pPr>
    </w:lvl>
    <w:lvl w:ilvl="4">
      <w:start w:val="1"/>
      <w:numFmt w:val="lowerLetter"/>
      <w:lvlText w:val="%5."/>
      <w:lvlJc w:val="left"/>
      <w:pPr>
        <w:ind w:left="3386" w:hanging="360"/>
      </w:pPr>
    </w:lvl>
    <w:lvl w:ilvl="5">
      <w:start w:val="1"/>
      <w:numFmt w:val="lowerRoman"/>
      <w:lvlText w:val="%6."/>
      <w:lvlJc w:val="right"/>
      <w:pPr>
        <w:ind w:left="4106" w:hanging="180"/>
      </w:pPr>
    </w:lvl>
    <w:lvl w:ilvl="6">
      <w:start w:val="1"/>
      <w:numFmt w:val="decimal"/>
      <w:lvlText w:val="%7."/>
      <w:lvlJc w:val="left"/>
      <w:pPr>
        <w:ind w:left="4826" w:hanging="360"/>
      </w:pPr>
    </w:lvl>
    <w:lvl w:ilvl="7">
      <w:start w:val="1"/>
      <w:numFmt w:val="lowerLetter"/>
      <w:lvlText w:val="%8."/>
      <w:lvlJc w:val="left"/>
      <w:pPr>
        <w:ind w:left="5546" w:hanging="360"/>
      </w:pPr>
    </w:lvl>
    <w:lvl w:ilvl="8">
      <w:start w:val="1"/>
      <w:numFmt w:val="lowerRoman"/>
      <w:lvlText w:val="%9."/>
      <w:lvlJc w:val="right"/>
      <w:pPr>
        <w:ind w:left="6266" w:hanging="180"/>
      </w:pPr>
    </w:lvl>
  </w:abstractNum>
  <w:abstractNum w:abstractNumId="2" w15:restartNumberingAfterBreak="0">
    <w:nsid w:val="1A316FBA"/>
    <w:multiLevelType w:val="multilevel"/>
    <w:tmpl w:val="1A316F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F25885"/>
    <w:multiLevelType w:val="multilevel"/>
    <w:tmpl w:val="26F25885"/>
    <w:lvl w:ilvl="0">
      <w:start w:val="1"/>
      <w:numFmt w:val="decimal"/>
      <w:lvlText w:val="%1)"/>
      <w:lvlJc w:val="left"/>
      <w:pPr>
        <w:ind w:left="1046" w:hanging="360"/>
      </w:pPr>
    </w:lvl>
    <w:lvl w:ilvl="1">
      <w:start w:val="1"/>
      <w:numFmt w:val="decimal"/>
      <w:lvlText w:val="%2)"/>
      <w:lvlJc w:val="left"/>
      <w:pPr>
        <w:ind w:left="1080" w:hanging="360"/>
      </w:pPr>
    </w:lvl>
    <w:lvl w:ilvl="2">
      <w:start w:val="1"/>
      <w:numFmt w:val="lowerRoman"/>
      <w:lvlText w:val="%3."/>
      <w:lvlJc w:val="right"/>
      <w:pPr>
        <w:ind w:left="2486" w:hanging="180"/>
      </w:pPr>
    </w:lvl>
    <w:lvl w:ilvl="3">
      <w:start w:val="1"/>
      <w:numFmt w:val="decimal"/>
      <w:lvlText w:val="%4."/>
      <w:lvlJc w:val="left"/>
      <w:pPr>
        <w:ind w:left="3206" w:hanging="360"/>
      </w:pPr>
    </w:lvl>
    <w:lvl w:ilvl="4">
      <w:start w:val="1"/>
      <w:numFmt w:val="lowerLetter"/>
      <w:lvlText w:val="%5."/>
      <w:lvlJc w:val="left"/>
      <w:pPr>
        <w:ind w:left="3926" w:hanging="360"/>
      </w:pPr>
    </w:lvl>
    <w:lvl w:ilvl="5">
      <w:start w:val="1"/>
      <w:numFmt w:val="lowerRoman"/>
      <w:lvlText w:val="%6."/>
      <w:lvlJc w:val="right"/>
      <w:pPr>
        <w:ind w:left="4646" w:hanging="180"/>
      </w:pPr>
    </w:lvl>
    <w:lvl w:ilvl="6">
      <w:start w:val="1"/>
      <w:numFmt w:val="decimal"/>
      <w:lvlText w:val="%7."/>
      <w:lvlJc w:val="left"/>
      <w:pPr>
        <w:ind w:left="5366" w:hanging="360"/>
      </w:pPr>
    </w:lvl>
    <w:lvl w:ilvl="7">
      <w:start w:val="1"/>
      <w:numFmt w:val="lowerLetter"/>
      <w:lvlText w:val="%8."/>
      <w:lvlJc w:val="left"/>
      <w:pPr>
        <w:ind w:left="6086" w:hanging="360"/>
      </w:pPr>
    </w:lvl>
    <w:lvl w:ilvl="8">
      <w:start w:val="1"/>
      <w:numFmt w:val="lowerRoman"/>
      <w:lvlText w:val="%9."/>
      <w:lvlJc w:val="right"/>
      <w:pPr>
        <w:ind w:left="6806" w:hanging="180"/>
      </w:pPr>
    </w:lvl>
  </w:abstractNum>
  <w:abstractNum w:abstractNumId="4" w15:restartNumberingAfterBreak="0">
    <w:nsid w:val="37F32DB8"/>
    <w:multiLevelType w:val="multilevel"/>
    <w:tmpl w:val="37F32DB8"/>
    <w:lvl w:ilvl="0">
      <w:start w:val="1"/>
      <w:numFmt w:val="decimal"/>
      <w:lvlText w:val="%1."/>
      <w:lvlJc w:val="left"/>
      <w:pPr>
        <w:ind w:left="720" w:hanging="360"/>
      </w:pPr>
      <w:rPr>
        <w:rFonts w:hint="default"/>
      </w:rPr>
    </w:lvl>
    <w:lvl w:ilvl="1">
      <w:start w:val="1"/>
      <w:numFmt w:val="decimal"/>
      <w:lvlText w:val="%2)"/>
      <w:lvlJc w:val="left"/>
      <w:pPr>
        <w:ind w:left="1440" w:hanging="360"/>
      </w:pPr>
      <w:rPr>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7468D0"/>
    <w:multiLevelType w:val="multilevel"/>
    <w:tmpl w:val="407468D0"/>
    <w:lvl w:ilvl="0">
      <w:start w:val="1"/>
      <w:numFmt w:val="decimal"/>
      <w:lvlText w:val="%1."/>
      <w:lvlJc w:val="left"/>
      <w:pPr>
        <w:ind w:left="360" w:hanging="360"/>
      </w:pPr>
      <w:rPr>
        <w:rFonts w:hint="default"/>
      </w:rPr>
    </w:lvl>
    <w:lvl w:ilvl="1">
      <w:start w:val="1"/>
      <w:numFmt w:val="decimal"/>
      <w:lvlText w:val="%2)"/>
      <w:lvlJc w:val="left"/>
      <w:pPr>
        <w:ind w:left="1080" w:hanging="360"/>
      </w:pPr>
      <w:rPr>
        <w:i w:val="0"/>
        <w:i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A027267"/>
    <w:multiLevelType w:val="multilevel"/>
    <w:tmpl w:val="4A0272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902AC3"/>
    <w:multiLevelType w:val="multilevel"/>
    <w:tmpl w:val="4B902AC3"/>
    <w:lvl w:ilvl="0">
      <w:start w:val="1"/>
      <w:numFmt w:val="upperRoman"/>
      <w:lvlText w:val="%1."/>
      <w:lvlJc w:val="left"/>
      <w:pPr>
        <w:ind w:left="2138"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50A6D51"/>
    <w:multiLevelType w:val="multilevel"/>
    <w:tmpl w:val="650A6D5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75700B91"/>
    <w:multiLevelType w:val="multilevel"/>
    <w:tmpl w:val="75700B91"/>
    <w:lvl w:ilvl="0">
      <w:start w:val="1"/>
      <w:numFmt w:val="lowerLetter"/>
      <w:lvlText w:val="%1)"/>
      <w:lvlJc w:val="left"/>
      <w:pPr>
        <w:ind w:left="686" w:hanging="360"/>
      </w:pPr>
      <w:rPr>
        <w:rFonts w:hint="default"/>
      </w:rPr>
    </w:lvl>
    <w:lvl w:ilvl="1">
      <w:start w:val="1"/>
      <w:numFmt w:val="lowerLetter"/>
      <w:lvlText w:val="%2."/>
      <w:lvlJc w:val="left"/>
      <w:pPr>
        <w:ind w:left="1406" w:hanging="360"/>
      </w:pPr>
    </w:lvl>
    <w:lvl w:ilvl="2">
      <w:start w:val="1"/>
      <w:numFmt w:val="lowerRoman"/>
      <w:lvlText w:val="%3."/>
      <w:lvlJc w:val="right"/>
      <w:pPr>
        <w:ind w:left="2126" w:hanging="180"/>
      </w:pPr>
    </w:lvl>
    <w:lvl w:ilvl="3">
      <w:start w:val="1"/>
      <w:numFmt w:val="decimal"/>
      <w:lvlText w:val="%4."/>
      <w:lvlJc w:val="left"/>
      <w:pPr>
        <w:ind w:left="2846" w:hanging="360"/>
      </w:pPr>
    </w:lvl>
    <w:lvl w:ilvl="4">
      <w:start w:val="1"/>
      <w:numFmt w:val="lowerLetter"/>
      <w:lvlText w:val="%5."/>
      <w:lvlJc w:val="left"/>
      <w:pPr>
        <w:ind w:left="3566" w:hanging="360"/>
      </w:pPr>
    </w:lvl>
    <w:lvl w:ilvl="5">
      <w:start w:val="1"/>
      <w:numFmt w:val="lowerRoman"/>
      <w:lvlText w:val="%6."/>
      <w:lvlJc w:val="right"/>
      <w:pPr>
        <w:ind w:left="4286" w:hanging="180"/>
      </w:pPr>
    </w:lvl>
    <w:lvl w:ilvl="6">
      <w:start w:val="1"/>
      <w:numFmt w:val="decimal"/>
      <w:lvlText w:val="%7."/>
      <w:lvlJc w:val="left"/>
      <w:pPr>
        <w:ind w:left="5006" w:hanging="360"/>
      </w:pPr>
    </w:lvl>
    <w:lvl w:ilvl="7">
      <w:start w:val="1"/>
      <w:numFmt w:val="lowerLetter"/>
      <w:lvlText w:val="%8."/>
      <w:lvlJc w:val="left"/>
      <w:pPr>
        <w:ind w:left="5726" w:hanging="360"/>
      </w:pPr>
    </w:lvl>
    <w:lvl w:ilvl="8">
      <w:start w:val="1"/>
      <w:numFmt w:val="lowerRoman"/>
      <w:lvlText w:val="%9."/>
      <w:lvlJc w:val="right"/>
      <w:pPr>
        <w:ind w:left="6446" w:hanging="180"/>
      </w:pPr>
    </w:lvl>
  </w:abstractNum>
  <w:abstractNum w:abstractNumId="10" w15:restartNumberingAfterBreak="0">
    <w:nsid w:val="78687721"/>
    <w:multiLevelType w:val="singleLevel"/>
    <w:tmpl w:val="78687721"/>
    <w:lvl w:ilvl="0">
      <w:start w:val="1"/>
      <w:numFmt w:val="decimal"/>
      <w:lvlText w:val="%1)"/>
      <w:lvlJc w:val="left"/>
      <w:pPr>
        <w:ind w:left="360" w:hanging="360"/>
      </w:pPr>
      <w:rPr>
        <w:rFonts w:hint="default"/>
        <w:b w:val="0"/>
        <w:color w:val="auto"/>
        <w:sz w:val="24"/>
        <w:szCs w:val="24"/>
      </w:rPr>
    </w:lvl>
  </w:abstractNum>
  <w:num w:numId="1" w16cid:durableId="1469318767">
    <w:abstractNumId w:val="5"/>
  </w:num>
  <w:num w:numId="2" w16cid:durableId="198317927">
    <w:abstractNumId w:val="8"/>
  </w:num>
  <w:num w:numId="3" w16cid:durableId="343946919">
    <w:abstractNumId w:val="10"/>
  </w:num>
  <w:num w:numId="4" w16cid:durableId="1687949124">
    <w:abstractNumId w:val="7"/>
  </w:num>
  <w:num w:numId="5" w16cid:durableId="363289434">
    <w:abstractNumId w:val="4"/>
  </w:num>
  <w:num w:numId="6" w16cid:durableId="1221600786">
    <w:abstractNumId w:val="2"/>
  </w:num>
  <w:num w:numId="7" w16cid:durableId="1081174126">
    <w:abstractNumId w:val="0"/>
  </w:num>
  <w:num w:numId="8" w16cid:durableId="220529807">
    <w:abstractNumId w:val="6"/>
  </w:num>
  <w:num w:numId="9" w16cid:durableId="1867911896">
    <w:abstractNumId w:val="9"/>
  </w:num>
  <w:num w:numId="10" w16cid:durableId="29301811">
    <w:abstractNumId w:val="3"/>
  </w:num>
  <w:num w:numId="11" w16cid:durableId="1907911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EA5"/>
    <w:rsid w:val="000000A2"/>
    <w:rsid w:val="00007495"/>
    <w:rsid w:val="00013491"/>
    <w:rsid w:val="000257A3"/>
    <w:rsid w:val="00031FD5"/>
    <w:rsid w:val="0004251E"/>
    <w:rsid w:val="00043345"/>
    <w:rsid w:val="00053FE8"/>
    <w:rsid w:val="00055327"/>
    <w:rsid w:val="000625A6"/>
    <w:rsid w:val="000745CD"/>
    <w:rsid w:val="00075343"/>
    <w:rsid w:val="000847BC"/>
    <w:rsid w:val="000869CB"/>
    <w:rsid w:val="000971D5"/>
    <w:rsid w:val="000A4387"/>
    <w:rsid w:val="000A4489"/>
    <w:rsid w:val="000A4DD2"/>
    <w:rsid w:val="000B00AF"/>
    <w:rsid w:val="000B180F"/>
    <w:rsid w:val="000B1CB5"/>
    <w:rsid w:val="000B1F20"/>
    <w:rsid w:val="000B3B9E"/>
    <w:rsid w:val="000B49D9"/>
    <w:rsid w:val="000B7F19"/>
    <w:rsid w:val="000C502B"/>
    <w:rsid w:val="000C6F23"/>
    <w:rsid w:val="000D4352"/>
    <w:rsid w:val="000D4ADF"/>
    <w:rsid w:val="000D7BAB"/>
    <w:rsid w:val="000E7C7E"/>
    <w:rsid w:val="000F31A7"/>
    <w:rsid w:val="000F3A87"/>
    <w:rsid w:val="000F7C17"/>
    <w:rsid w:val="001064FD"/>
    <w:rsid w:val="00106719"/>
    <w:rsid w:val="00110ABA"/>
    <w:rsid w:val="001124A3"/>
    <w:rsid w:val="0011257C"/>
    <w:rsid w:val="00112875"/>
    <w:rsid w:val="0011632C"/>
    <w:rsid w:val="001165B7"/>
    <w:rsid w:val="00121A32"/>
    <w:rsid w:val="00121E9C"/>
    <w:rsid w:val="00122AE8"/>
    <w:rsid w:val="001256EA"/>
    <w:rsid w:val="001267BA"/>
    <w:rsid w:val="00127910"/>
    <w:rsid w:val="00133195"/>
    <w:rsid w:val="00134815"/>
    <w:rsid w:val="001438B4"/>
    <w:rsid w:val="00143E5E"/>
    <w:rsid w:val="00147714"/>
    <w:rsid w:val="00152E34"/>
    <w:rsid w:val="00156566"/>
    <w:rsid w:val="001577FF"/>
    <w:rsid w:val="0016127D"/>
    <w:rsid w:val="001615AC"/>
    <w:rsid w:val="0016395D"/>
    <w:rsid w:val="00163AB8"/>
    <w:rsid w:val="0017584A"/>
    <w:rsid w:val="00182C6C"/>
    <w:rsid w:val="0019195A"/>
    <w:rsid w:val="0019426C"/>
    <w:rsid w:val="001954D4"/>
    <w:rsid w:val="001A411E"/>
    <w:rsid w:val="001A6AA4"/>
    <w:rsid w:val="001B204B"/>
    <w:rsid w:val="001B4951"/>
    <w:rsid w:val="001B4CA1"/>
    <w:rsid w:val="001D2CDB"/>
    <w:rsid w:val="001E0983"/>
    <w:rsid w:val="001E120B"/>
    <w:rsid w:val="001E2C2D"/>
    <w:rsid w:val="001E56E3"/>
    <w:rsid w:val="001E5EB8"/>
    <w:rsid w:val="001E754B"/>
    <w:rsid w:val="001F5CC6"/>
    <w:rsid w:val="001F7976"/>
    <w:rsid w:val="00202F37"/>
    <w:rsid w:val="002049CB"/>
    <w:rsid w:val="00211B84"/>
    <w:rsid w:val="00212507"/>
    <w:rsid w:val="00214569"/>
    <w:rsid w:val="0021465B"/>
    <w:rsid w:val="00216F56"/>
    <w:rsid w:val="00223C4F"/>
    <w:rsid w:val="00234864"/>
    <w:rsid w:val="002348AE"/>
    <w:rsid w:val="002351CF"/>
    <w:rsid w:val="002355BD"/>
    <w:rsid w:val="00240633"/>
    <w:rsid w:val="00242E0D"/>
    <w:rsid w:val="002479A1"/>
    <w:rsid w:val="00250EAB"/>
    <w:rsid w:val="002541C5"/>
    <w:rsid w:val="00257E9D"/>
    <w:rsid w:val="002652E4"/>
    <w:rsid w:val="00267220"/>
    <w:rsid w:val="002728D9"/>
    <w:rsid w:val="00272F95"/>
    <w:rsid w:val="00282BF2"/>
    <w:rsid w:val="00284303"/>
    <w:rsid w:val="002906FB"/>
    <w:rsid w:val="00297B18"/>
    <w:rsid w:val="002A2616"/>
    <w:rsid w:val="002A3CC6"/>
    <w:rsid w:val="002A5D01"/>
    <w:rsid w:val="002B10D5"/>
    <w:rsid w:val="002B4226"/>
    <w:rsid w:val="002C1DE2"/>
    <w:rsid w:val="002C6BF7"/>
    <w:rsid w:val="002D10CE"/>
    <w:rsid w:val="002D1C0C"/>
    <w:rsid w:val="002D1C8F"/>
    <w:rsid w:val="002D33A7"/>
    <w:rsid w:val="002D3414"/>
    <w:rsid w:val="002D644B"/>
    <w:rsid w:val="002E438E"/>
    <w:rsid w:val="002E4836"/>
    <w:rsid w:val="002F17A8"/>
    <w:rsid w:val="002F3A89"/>
    <w:rsid w:val="0030752D"/>
    <w:rsid w:val="003128C9"/>
    <w:rsid w:val="003200E8"/>
    <w:rsid w:val="0032255C"/>
    <w:rsid w:val="003315A8"/>
    <w:rsid w:val="003320FE"/>
    <w:rsid w:val="00332257"/>
    <w:rsid w:val="00342EC9"/>
    <w:rsid w:val="0034374D"/>
    <w:rsid w:val="00344BCC"/>
    <w:rsid w:val="00346C71"/>
    <w:rsid w:val="00353439"/>
    <w:rsid w:val="003539CF"/>
    <w:rsid w:val="00370B96"/>
    <w:rsid w:val="00371C3C"/>
    <w:rsid w:val="003740E5"/>
    <w:rsid w:val="00375B74"/>
    <w:rsid w:val="003764EB"/>
    <w:rsid w:val="003851BB"/>
    <w:rsid w:val="00390303"/>
    <w:rsid w:val="003907B0"/>
    <w:rsid w:val="003A48BB"/>
    <w:rsid w:val="003B2BDA"/>
    <w:rsid w:val="003B63B9"/>
    <w:rsid w:val="003B6BD1"/>
    <w:rsid w:val="003B7B63"/>
    <w:rsid w:val="003C0D3F"/>
    <w:rsid w:val="003C0DB6"/>
    <w:rsid w:val="003C3A7A"/>
    <w:rsid w:val="003D442B"/>
    <w:rsid w:val="003D46A3"/>
    <w:rsid w:val="003E2F94"/>
    <w:rsid w:val="003E553A"/>
    <w:rsid w:val="003E5E95"/>
    <w:rsid w:val="003F04A2"/>
    <w:rsid w:val="00406EA9"/>
    <w:rsid w:val="00411B4B"/>
    <w:rsid w:val="004131DC"/>
    <w:rsid w:val="00413C79"/>
    <w:rsid w:val="0041693B"/>
    <w:rsid w:val="0042062E"/>
    <w:rsid w:val="00421AD0"/>
    <w:rsid w:val="0042481C"/>
    <w:rsid w:val="004274B6"/>
    <w:rsid w:val="00440DD5"/>
    <w:rsid w:val="0044137A"/>
    <w:rsid w:val="00441E6A"/>
    <w:rsid w:val="00443C67"/>
    <w:rsid w:val="0045057C"/>
    <w:rsid w:val="00450982"/>
    <w:rsid w:val="00463CCB"/>
    <w:rsid w:val="00464C4E"/>
    <w:rsid w:val="0048348D"/>
    <w:rsid w:val="00483A81"/>
    <w:rsid w:val="004842CD"/>
    <w:rsid w:val="00487777"/>
    <w:rsid w:val="00487E9F"/>
    <w:rsid w:val="004914A9"/>
    <w:rsid w:val="00494600"/>
    <w:rsid w:val="0049520C"/>
    <w:rsid w:val="00496B62"/>
    <w:rsid w:val="0049756F"/>
    <w:rsid w:val="004A0D61"/>
    <w:rsid w:val="004A14B1"/>
    <w:rsid w:val="004B2355"/>
    <w:rsid w:val="004C3C88"/>
    <w:rsid w:val="004D3E28"/>
    <w:rsid w:val="004D5B1A"/>
    <w:rsid w:val="004E043B"/>
    <w:rsid w:val="004E0483"/>
    <w:rsid w:val="004F1E93"/>
    <w:rsid w:val="004F4656"/>
    <w:rsid w:val="00514D00"/>
    <w:rsid w:val="00515CF3"/>
    <w:rsid w:val="00521ADB"/>
    <w:rsid w:val="00523085"/>
    <w:rsid w:val="00531795"/>
    <w:rsid w:val="00535940"/>
    <w:rsid w:val="005360D6"/>
    <w:rsid w:val="00541AE2"/>
    <w:rsid w:val="00542700"/>
    <w:rsid w:val="0054433D"/>
    <w:rsid w:val="00547584"/>
    <w:rsid w:val="005501E3"/>
    <w:rsid w:val="005518AC"/>
    <w:rsid w:val="005521DE"/>
    <w:rsid w:val="00556EA5"/>
    <w:rsid w:val="00557E73"/>
    <w:rsid w:val="0056303F"/>
    <w:rsid w:val="005646BE"/>
    <w:rsid w:val="00565216"/>
    <w:rsid w:val="005701A8"/>
    <w:rsid w:val="00573A8D"/>
    <w:rsid w:val="005765B2"/>
    <w:rsid w:val="005870A3"/>
    <w:rsid w:val="005935AE"/>
    <w:rsid w:val="00593617"/>
    <w:rsid w:val="005A6706"/>
    <w:rsid w:val="005B0279"/>
    <w:rsid w:val="005C33B2"/>
    <w:rsid w:val="005C4313"/>
    <w:rsid w:val="005C664F"/>
    <w:rsid w:val="005C7A9C"/>
    <w:rsid w:val="005D0C94"/>
    <w:rsid w:val="005E0ACF"/>
    <w:rsid w:val="005F2C33"/>
    <w:rsid w:val="005F5DF4"/>
    <w:rsid w:val="005F77CB"/>
    <w:rsid w:val="00603B1D"/>
    <w:rsid w:val="00610158"/>
    <w:rsid w:val="00610372"/>
    <w:rsid w:val="00611695"/>
    <w:rsid w:val="00611CBE"/>
    <w:rsid w:val="00612735"/>
    <w:rsid w:val="00623525"/>
    <w:rsid w:val="00624C78"/>
    <w:rsid w:val="00634171"/>
    <w:rsid w:val="006427FF"/>
    <w:rsid w:val="00644CCF"/>
    <w:rsid w:val="0064561B"/>
    <w:rsid w:val="0065343D"/>
    <w:rsid w:val="00654CDC"/>
    <w:rsid w:val="0065607B"/>
    <w:rsid w:val="0065651F"/>
    <w:rsid w:val="00656588"/>
    <w:rsid w:val="00657D03"/>
    <w:rsid w:val="00663BC6"/>
    <w:rsid w:val="00665950"/>
    <w:rsid w:val="00666499"/>
    <w:rsid w:val="00674E83"/>
    <w:rsid w:val="006753AC"/>
    <w:rsid w:val="00680FD7"/>
    <w:rsid w:val="00683326"/>
    <w:rsid w:val="00683DAB"/>
    <w:rsid w:val="006918E8"/>
    <w:rsid w:val="00691F5C"/>
    <w:rsid w:val="00692BA5"/>
    <w:rsid w:val="00696B0A"/>
    <w:rsid w:val="006977DB"/>
    <w:rsid w:val="006A50C0"/>
    <w:rsid w:val="006B0B72"/>
    <w:rsid w:val="006B411F"/>
    <w:rsid w:val="006C438B"/>
    <w:rsid w:val="006C47F2"/>
    <w:rsid w:val="006D4DFD"/>
    <w:rsid w:val="006D6CA1"/>
    <w:rsid w:val="006D72FE"/>
    <w:rsid w:val="006E13C3"/>
    <w:rsid w:val="006E44F7"/>
    <w:rsid w:val="006E5EEC"/>
    <w:rsid w:val="006F073C"/>
    <w:rsid w:val="006F0C1C"/>
    <w:rsid w:val="006F17E6"/>
    <w:rsid w:val="006F596D"/>
    <w:rsid w:val="006F5CB5"/>
    <w:rsid w:val="00707014"/>
    <w:rsid w:val="00714F85"/>
    <w:rsid w:val="007157A1"/>
    <w:rsid w:val="00724292"/>
    <w:rsid w:val="007271B1"/>
    <w:rsid w:val="00730200"/>
    <w:rsid w:val="00736618"/>
    <w:rsid w:val="007428F5"/>
    <w:rsid w:val="00744F0B"/>
    <w:rsid w:val="00746143"/>
    <w:rsid w:val="00746597"/>
    <w:rsid w:val="00751CE0"/>
    <w:rsid w:val="00752F3B"/>
    <w:rsid w:val="0075333F"/>
    <w:rsid w:val="00753B96"/>
    <w:rsid w:val="00763EC3"/>
    <w:rsid w:val="00764DD8"/>
    <w:rsid w:val="00772D42"/>
    <w:rsid w:val="007747D0"/>
    <w:rsid w:val="00783504"/>
    <w:rsid w:val="00790687"/>
    <w:rsid w:val="007A4CDA"/>
    <w:rsid w:val="007A7CB6"/>
    <w:rsid w:val="007B2AB3"/>
    <w:rsid w:val="007B7CB6"/>
    <w:rsid w:val="007C2E29"/>
    <w:rsid w:val="007C7036"/>
    <w:rsid w:val="007D3CC3"/>
    <w:rsid w:val="007D7170"/>
    <w:rsid w:val="007E2AD2"/>
    <w:rsid w:val="007E2D5C"/>
    <w:rsid w:val="007E2E91"/>
    <w:rsid w:val="007F3D6D"/>
    <w:rsid w:val="007F5DEA"/>
    <w:rsid w:val="007F6FB0"/>
    <w:rsid w:val="007F7E3F"/>
    <w:rsid w:val="00800665"/>
    <w:rsid w:val="0080206F"/>
    <w:rsid w:val="00802FE4"/>
    <w:rsid w:val="00804208"/>
    <w:rsid w:val="00812F63"/>
    <w:rsid w:val="00813F85"/>
    <w:rsid w:val="00815135"/>
    <w:rsid w:val="00827207"/>
    <w:rsid w:val="008275DC"/>
    <w:rsid w:val="00827602"/>
    <w:rsid w:val="00830825"/>
    <w:rsid w:val="00831485"/>
    <w:rsid w:val="00834203"/>
    <w:rsid w:val="008447B8"/>
    <w:rsid w:val="0084570A"/>
    <w:rsid w:val="00846D67"/>
    <w:rsid w:val="00850584"/>
    <w:rsid w:val="0085068E"/>
    <w:rsid w:val="00851036"/>
    <w:rsid w:val="00853F2C"/>
    <w:rsid w:val="00861031"/>
    <w:rsid w:val="00866BB5"/>
    <w:rsid w:val="00873E23"/>
    <w:rsid w:val="00876979"/>
    <w:rsid w:val="00880EEF"/>
    <w:rsid w:val="008828E6"/>
    <w:rsid w:val="00891DCC"/>
    <w:rsid w:val="00891F89"/>
    <w:rsid w:val="00893300"/>
    <w:rsid w:val="00895698"/>
    <w:rsid w:val="00896D0D"/>
    <w:rsid w:val="008A0EB0"/>
    <w:rsid w:val="008A1B37"/>
    <w:rsid w:val="008A23EF"/>
    <w:rsid w:val="008A4019"/>
    <w:rsid w:val="008A53B6"/>
    <w:rsid w:val="008B08E6"/>
    <w:rsid w:val="008B1268"/>
    <w:rsid w:val="008B2723"/>
    <w:rsid w:val="008B63EF"/>
    <w:rsid w:val="008B7F09"/>
    <w:rsid w:val="008D470D"/>
    <w:rsid w:val="008D62BE"/>
    <w:rsid w:val="008E5537"/>
    <w:rsid w:val="0091218E"/>
    <w:rsid w:val="00922590"/>
    <w:rsid w:val="00924686"/>
    <w:rsid w:val="00926310"/>
    <w:rsid w:val="00930DA0"/>
    <w:rsid w:val="00933EFD"/>
    <w:rsid w:val="0094247A"/>
    <w:rsid w:val="009431A8"/>
    <w:rsid w:val="00962562"/>
    <w:rsid w:val="009631AB"/>
    <w:rsid w:val="0096374B"/>
    <w:rsid w:val="00963A64"/>
    <w:rsid w:val="00965838"/>
    <w:rsid w:val="00970DF8"/>
    <w:rsid w:val="009727E5"/>
    <w:rsid w:val="00976769"/>
    <w:rsid w:val="0099067C"/>
    <w:rsid w:val="009919B2"/>
    <w:rsid w:val="009A2BEF"/>
    <w:rsid w:val="009B2D4B"/>
    <w:rsid w:val="009B616E"/>
    <w:rsid w:val="009B6838"/>
    <w:rsid w:val="009C429F"/>
    <w:rsid w:val="009C47F1"/>
    <w:rsid w:val="009C500C"/>
    <w:rsid w:val="009C5625"/>
    <w:rsid w:val="009C7EE6"/>
    <w:rsid w:val="009D41D3"/>
    <w:rsid w:val="009E531F"/>
    <w:rsid w:val="009E65CD"/>
    <w:rsid w:val="009F2D7F"/>
    <w:rsid w:val="009F534E"/>
    <w:rsid w:val="00A01F7E"/>
    <w:rsid w:val="00A0321D"/>
    <w:rsid w:val="00A059DD"/>
    <w:rsid w:val="00A10D7D"/>
    <w:rsid w:val="00A11F68"/>
    <w:rsid w:val="00A12E3A"/>
    <w:rsid w:val="00A13FD3"/>
    <w:rsid w:val="00A165E7"/>
    <w:rsid w:val="00A21560"/>
    <w:rsid w:val="00A22060"/>
    <w:rsid w:val="00A2332F"/>
    <w:rsid w:val="00A258BB"/>
    <w:rsid w:val="00A33FBE"/>
    <w:rsid w:val="00A37304"/>
    <w:rsid w:val="00A457F9"/>
    <w:rsid w:val="00A52A2F"/>
    <w:rsid w:val="00A53129"/>
    <w:rsid w:val="00A54088"/>
    <w:rsid w:val="00A56354"/>
    <w:rsid w:val="00A61D61"/>
    <w:rsid w:val="00A62EE0"/>
    <w:rsid w:val="00A62F18"/>
    <w:rsid w:val="00A6329A"/>
    <w:rsid w:val="00A6335D"/>
    <w:rsid w:val="00A633BF"/>
    <w:rsid w:val="00A7043B"/>
    <w:rsid w:val="00A744F5"/>
    <w:rsid w:val="00A8131C"/>
    <w:rsid w:val="00A82F33"/>
    <w:rsid w:val="00A8325B"/>
    <w:rsid w:val="00A85F7F"/>
    <w:rsid w:val="00A8719A"/>
    <w:rsid w:val="00A87331"/>
    <w:rsid w:val="00A962F9"/>
    <w:rsid w:val="00AA0EE6"/>
    <w:rsid w:val="00AB493A"/>
    <w:rsid w:val="00AB5E3C"/>
    <w:rsid w:val="00AC2BF1"/>
    <w:rsid w:val="00AC4D36"/>
    <w:rsid w:val="00AD6E02"/>
    <w:rsid w:val="00AE5B75"/>
    <w:rsid w:val="00AE7D60"/>
    <w:rsid w:val="00AF0315"/>
    <w:rsid w:val="00AF1C67"/>
    <w:rsid w:val="00AF38A0"/>
    <w:rsid w:val="00AF668F"/>
    <w:rsid w:val="00AF6D93"/>
    <w:rsid w:val="00B11DD9"/>
    <w:rsid w:val="00B122FC"/>
    <w:rsid w:val="00B21345"/>
    <w:rsid w:val="00B243FE"/>
    <w:rsid w:val="00B24820"/>
    <w:rsid w:val="00B307D6"/>
    <w:rsid w:val="00B32899"/>
    <w:rsid w:val="00B34A59"/>
    <w:rsid w:val="00B34D22"/>
    <w:rsid w:val="00B41EB7"/>
    <w:rsid w:val="00B534D9"/>
    <w:rsid w:val="00B555E6"/>
    <w:rsid w:val="00B63931"/>
    <w:rsid w:val="00B63C96"/>
    <w:rsid w:val="00B6777A"/>
    <w:rsid w:val="00B67E23"/>
    <w:rsid w:val="00B71F3A"/>
    <w:rsid w:val="00B723F3"/>
    <w:rsid w:val="00B80BDA"/>
    <w:rsid w:val="00B83A24"/>
    <w:rsid w:val="00B83E3C"/>
    <w:rsid w:val="00B860EB"/>
    <w:rsid w:val="00B86F04"/>
    <w:rsid w:val="00B93A58"/>
    <w:rsid w:val="00B97A64"/>
    <w:rsid w:val="00B97B09"/>
    <w:rsid w:val="00BA2035"/>
    <w:rsid w:val="00BB155B"/>
    <w:rsid w:val="00BC03E2"/>
    <w:rsid w:val="00BC14C8"/>
    <w:rsid w:val="00BC216B"/>
    <w:rsid w:val="00BC2B16"/>
    <w:rsid w:val="00BC2D61"/>
    <w:rsid w:val="00BC6B78"/>
    <w:rsid w:val="00BD119E"/>
    <w:rsid w:val="00BD30F9"/>
    <w:rsid w:val="00BD52E3"/>
    <w:rsid w:val="00BE1FAA"/>
    <w:rsid w:val="00BF2ED3"/>
    <w:rsid w:val="00BF36EE"/>
    <w:rsid w:val="00BF63AD"/>
    <w:rsid w:val="00C04F74"/>
    <w:rsid w:val="00C209B0"/>
    <w:rsid w:val="00C23DE9"/>
    <w:rsid w:val="00C24F7B"/>
    <w:rsid w:val="00C2726C"/>
    <w:rsid w:val="00C30486"/>
    <w:rsid w:val="00C45EDA"/>
    <w:rsid w:val="00C548FB"/>
    <w:rsid w:val="00C54ADB"/>
    <w:rsid w:val="00C65634"/>
    <w:rsid w:val="00C67BAB"/>
    <w:rsid w:val="00C72595"/>
    <w:rsid w:val="00C7583C"/>
    <w:rsid w:val="00C81B0D"/>
    <w:rsid w:val="00C87147"/>
    <w:rsid w:val="00C926A8"/>
    <w:rsid w:val="00C94642"/>
    <w:rsid w:val="00C968C1"/>
    <w:rsid w:val="00CA4BCD"/>
    <w:rsid w:val="00CA5038"/>
    <w:rsid w:val="00CA5983"/>
    <w:rsid w:val="00CA6C68"/>
    <w:rsid w:val="00CA73E4"/>
    <w:rsid w:val="00CB4004"/>
    <w:rsid w:val="00CB7525"/>
    <w:rsid w:val="00CC5D03"/>
    <w:rsid w:val="00CD1CFF"/>
    <w:rsid w:val="00CD705F"/>
    <w:rsid w:val="00CD7DE7"/>
    <w:rsid w:val="00CD7F40"/>
    <w:rsid w:val="00CE4C55"/>
    <w:rsid w:val="00CE7A7F"/>
    <w:rsid w:val="00CF3457"/>
    <w:rsid w:val="00CF7A96"/>
    <w:rsid w:val="00D01B4A"/>
    <w:rsid w:val="00D03D1F"/>
    <w:rsid w:val="00D04130"/>
    <w:rsid w:val="00D06532"/>
    <w:rsid w:val="00D10269"/>
    <w:rsid w:val="00D149F7"/>
    <w:rsid w:val="00D22EE5"/>
    <w:rsid w:val="00D24F7C"/>
    <w:rsid w:val="00D2716E"/>
    <w:rsid w:val="00D333FA"/>
    <w:rsid w:val="00D361B5"/>
    <w:rsid w:val="00D413EC"/>
    <w:rsid w:val="00D43E96"/>
    <w:rsid w:val="00D4554D"/>
    <w:rsid w:val="00D45F9F"/>
    <w:rsid w:val="00D501D8"/>
    <w:rsid w:val="00D54695"/>
    <w:rsid w:val="00D54844"/>
    <w:rsid w:val="00D55471"/>
    <w:rsid w:val="00D5594B"/>
    <w:rsid w:val="00D55FD5"/>
    <w:rsid w:val="00D56528"/>
    <w:rsid w:val="00D56E4B"/>
    <w:rsid w:val="00D621D0"/>
    <w:rsid w:val="00D7373D"/>
    <w:rsid w:val="00D76EB2"/>
    <w:rsid w:val="00D87BD9"/>
    <w:rsid w:val="00D95A4F"/>
    <w:rsid w:val="00D97437"/>
    <w:rsid w:val="00DA2ED7"/>
    <w:rsid w:val="00DA593A"/>
    <w:rsid w:val="00DA5C17"/>
    <w:rsid w:val="00DA60AF"/>
    <w:rsid w:val="00DA6193"/>
    <w:rsid w:val="00DA6234"/>
    <w:rsid w:val="00DA78DA"/>
    <w:rsid w:val="00DB0E08"/>
    <w:rsid w:val="00DB554B"/>
    <w:rsid w:val="00DB61B4"/>
    <w:rsid w:val="00DC0082"/>
    <w:rsid w:val="00DC2D28"/>
    <w:rsid w:val="00DC563B"/>
    <w:rsid w:val="00DC64D0"/>
    <w:rsid w:val="00DC68C2"/>
    <w:rsid w:val="00DD0D2C"/>
    <w:rsid w:val="00DD69B6"/>
    <w:rsid w:val="00DE1CA3"/>
    <w:rsid w:val="00DE2951"/>
    <w:rsid w:val="00DF4EC4"/>
    <w:rsid w:val="00DF6732"/>
    <w:rsid w:val="00DF78A5"/>
    <w:rsid w:val="00DF7906"/>
    <w:rsid w:val="00E01D2C"/>
    <w:rsid w:val="00E057D4"/>
    <w:rsid w:val="00E071F0"/>
    <w:rsid w:val="00E14D01"/>
    <w:rsid w:val="00E16D32"/>
    <w:rsid w:val="00E265C6"/>
    <w:rsid w:val="00E335D3"/>
    <w:rsid w:val="00E33B98"/>
    <w:rsid w:val="00E36732"/>
    <w:rsid w:val="00E36E7C"/>
    <w:rsid w:val="00E37212"/>
    <w:rsid w:val="00E4488A"/>
    <w:rsid w:val="00E61E25"/>
    <w:rsid w:val="00E61EE0"/>
    <w:rsid w:val="00E652E2"/>
    <w:rsid w:val="00E65AE0"/>
    <w:rsid w:val="00E660B9"/>
    <w:rsid w:val="00E67D29"/>
    <w:rsid w:val="00E71913"/>
    <w:rsid w:val="00E74055"/>
    <w:rsid w:val="00E84B0D"/>
    <w:rsid w:val="00E84C53"/>
    <w:rsid w:val="00E87E7A"/>
    <w:rsid w:val="00E9232C"/>
    <w:rsid w:val="00E93215"/>
    <w:rsid w:val="00E939A8"/>
    <w:rsid w:val="00E95796"/>
    <w:rsid w:val="00EA0165"/>
    <w:rsid w:val="00EB0012"/>
    <w:rsid w:val="00EB2422"/>
    <w:rsid w:val="00ED1835"/>
    <w:rsid w:val="00ED5E57"/>
    <w:rsid w:val="00ED6223"/>
    <w:rsid w:val="00ED6A5B"/>
    <w:rsid w:val="00ED6C4C"/>
    <w:rsid w:val="00EE0373"/>
    <w:rsid w:val="00EE14B4"/>
    <w:rsid w:val="00EE291B"/>
    <w:rsid w:val="00EF37A1"/>
    <w:rsid w:val="00EF5262"/>
    <w:rsid w:val="00EF5BA9"/>
    <w:rsid w:val="00F01C39"/>
    <w:rsid w:val="00F036EF"/>
    <w:rsid w:val="00F03AEA"/>
    <w:rsid w:val="00F06549"/>
    <w:rsid w:val="00F140C5"/>
    <w:rsid w:val="00F177C3"/>
    <w:rsid w:val="00F337AA"/>
    <w:rsid w:val="00F338DE"/>
    <w:rsid w:val="00F33B17"/>
    <w:rsid w:val="00F34A1E"/>
    <w:rsid w:val="00F4204B"/>
    <w:rsid w:val="00F4335A"/>
    <w:rsid w:val="00F436E1"/>
    <w:rsid w:val="00F44EDA"/>
    <w:rsid w:val="00F46788"/>
    <w:rsid w:val="00F4709F"/>
    <w:rsid w:val="00F52447"/>
    <w:rsid w:val="00F52CDB"/>
    <w:rsid w:val="00F52D54"/>
    <w:rsid w:val="00F65EC9"/>
    <w:rsid w:val="00F67220"/>
    <w:rsid w:val="00F711FB"/>
    <w:rsid w:val="00F73411"/>
    <w:rsid w:val="00F7382A"/>
    <w:rsid w:val="00F76E98"/>
    <w:rsid w:val="00F806F2"/>
    <w:rsid w:val="00F80E9B"/>
    <w:rsid w:val="00F84A7D"/>
    <w:rsid w:val="00F85F55"/>
    <w:rsid w:val="00F90F8A"/>
    <w:rsid w:val="00F92A92"/>
    <w:rsid w:val="00FA6EA5"/>
    <w:rsid w:val="00FC22CF"/>
    <w:rsid w:val="00FC3B86"/>
    <w:rsid w:val="00FC46F7"/>
    <w:rsid w:val="00FC5D4F"/>
    <w:rsid w:val="00FC787B"/>
    <w:rsid w:val="00FD13A3"/>
    <w:rsid w:val="00FD213E"/>
    <w:rsid w:val="00FD5393"/>
    <w:rsid w:val="00FD592A"/>
    <w:rsid w:val="00FD68E2"/>
    <w:rsid w:val="00FF291F"/>
    <w:rsid w:val="00FF46CB"/>
    <w:rsid w:val="092D3797"/>
    <w:rsid w:val="7815581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47AE"/>
  <w15:docId w15:val="{3FD1BE5E-7C24-4128-81AB-3F975C8E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kern w:val="2"/>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pPr>
      <w:spacing w:after="0" w:line="240" w:lineRule="auto"/>
    </w:pPr>
    <w:rPr>
      <w:sz w:val="20"/>
      <w:szCs w:val="20"/>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basedOn w:val="Domylnaczcionkaakapitu"/>
    <w:uiPriority w:val="99"/>
    <w:unhideWhenUsed/>
    <w:qFormat/>
    <w:rPr>
      <w:color w:val="0563C1" w:themeColor="hyperlink"/>
      <w:u w:val="single"/>
    </w:rPr>
  </w:style>
  <w:style w:type="table" w:styleId="Tabela-Siatka">
    <w:name w:val="Table Grid"/>
    <w:basedOn w:val="Standardowy"/>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rPr>
      <w:kern w:val="0"/>
    </w:rPr>
  </w:style>
  <w:style w:type="character" w:customStyle="1" w:styleId="null">
    <w:name w:val="null"/>
    <w:basedOn w:val="Domylnaczcionkaakapitu"/>
    <w:qFormat/>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character" w:customStyle="1" w:styleId="TekstprzypisukocowegoZnak">
    <w:name w:val="Tekst przypisu końcowego Znak"/>
    <w:basedOn w:val="Domylnaczcionkaakapitu"/>
    <w:link w:val="Tekstprzypisukocowego"/>
    <w:uiPriority w:val="99"/>
    <w:semiHidden/>
    <w:qFormat/>
    <w:rPr>
      <w:sz w:val="20"/>
      <w:szCs w:val="20"/>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paragraph" w:customStyle="1" w:styleId="Poprawka1">
    <w:name w:val="Poprawka1"/>
    <w:hidden/>
    <w:uiPriority w:val="99"/>
    <w:semiHidden/>
    <w:qFormat/>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FE936-D621-4373-9030-B08DBA13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7514</Characters>
  <Application>Microsoft Office Word</Application>
  <DocSecurity>0</DocSecurity>
  <Lines>62</Lines>
  <Paragraphs>17</Paragraphs>
  <ScaleCrop>false</ScaleCrop>
  <Company>Hewlett-Packard</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Ptak</dc:creator>
  <cp:lastModifiedBy>Dolina Samy</cp:lastModifiedBy>
  <cp:revision>2</cp:revision>
  <cp:lastPrinted>2024-03-25T18:50:00Z</cp:lastPrinted>
  <dcterms:created xsi:type="dcterms:W3CDTF">2026-01-28T13:50:00Z</dcterms:created>
  <dcterms:modified xsi:type="dcterms:W3CDTF">2026-01-28T13:50:00Z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1045-12.2.0.17119</vt:lpwstr>
  </property>
  <property fmtid="{D5CDD505-2E9C-101B-9397-08002B2CF9AE}" pid="3" name="ICV">
    <vt:lpwstr>5CCC7B766E7547D0BF2C5799FB479C4F_13</vt:lpwstr>
  </property>
</Properties>
</file>